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4D3" w:rsidRDefault="0047755F">
      <w:pPr>
        <w:keepNext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«Утверждаю»</w:t>
      </w:r>
    </w:p>
    <w:p w:rsidR="004E24D3" w:rsidRDefault="0047755F">
      <w:pPr>
        <w:keepNext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Заместитель Генерального директора </w:t>
      </w:r>
    </w:p>
    <w:p w:rsidR="004E24D3" w:rsidRDefault="0047755F">
      <w:pPr>
        <w:keepNext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управлению ресурсами </w:t>
      </w:r>
    </w:p>
    <w:p w:rsidR="004E24D3" w:rsidRDefault="0047755F">
      <w:pPr>
        <w:keepNext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АО «Сахаэнерго»</w:t>
      </w:r>
    </w:p>
    <w:p w:rsidR="004E24D3" w:rsidRDefault="0047755F">
      <w:pPr>
        <w:keepNext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 /Федоров Д.А./</w:t>
      </w:r>
    </w:p>
    <w:p w:rsidR="004E24D3" w:rsidRDefault="0047755F">
      <w:pPr>
        <w:keepNext/>
        <w:keepLines/>
        <w:jc w:val="right"/>
        <w:rPr>
          <w:bCs/>
          <w:sz w:val="24"/>
          <w:szCs w:val="24"/>
        </w:rPr>
      </w:pPr>
      <w:r>
        <w:rPr>
          <w:sz w:val="24"/>
          <w:szCs w:val="24"/>
        </w:rPr>
        <w:t>«_____» _______________ 2026 года</w:t>
      </w: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E24D3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</w:p>
    <w:p w:rsidR="004E24D3" w:rsidRDefault="0047755F">
      <w:pPr>
        <w:keepNext/>
        <w:keepLines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 w:rsidR="007F6039" w:rsidRDefault="007F6039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 w:rsidRPr="007F6039">
        <w:rPr>
          <w:rFonts w:eastAsia="Calibri"/>
          <w:b/>
          <w:sz w:val="26"/>
          <w:szCs w:val="26"/>
        </w:rPr>
        <w:t>ОКПД2 33.11.12.000 Ремонт и замена металлических рам с ложементами для резервуаров РГС-50 м3 склада ГСМ ДЭС п. Саккырыр Эвено-Бытантайского РЭС филиала АО «Сахаэнерго»</w:t>
      </w:r>
    </w:p>
    <w:p w:rsidR="004E24D3" w:rsidRDefault="007F6039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</w:t>
      </w:r>
      <w:r w:rsidRPr="007F6039">
        <w:rPr>
          <w:rFonts w:eastAsia="Calibri"/>
          <w:b/>
          <w:sz w:val="26"/>
          <w:szCs w:val="26"/>
        </w:rPr>
        <w:t>87801-РЕМ ПРОД-2026-СахаЭ</w:t>
      </w:r>
    </w:p>
    <w:p w:rsidR="004E24D3" w:rsidRDefault="0047755F">
      <w:pPr>
        <w:rPr>
          <w:rFonts w:eastAsia="Calibri"/>
          <w:b/>
          <w:sz w:val="26"/>
          <w:szCs w:val="26"/>
        </w:rPr>
      </w:pPr>
      <w:r>
        <w:br w:type="page"/>
      </w:r>
    </w:p>
    <w:p w:rsidR="004E24D3" w:rsidRDefault="0047755F">
      <w:pPr>
        <w:jc w:val="center"/>
        <w:rPr>
          <w:sz w:val="24"/>
          <w:szCs w:val="24"/>
        </w:rPr>
      </w:pPr>
      <w:r>
        <w:rPr>
          <w:b/>
        </w:rPr>
        <w:lastRenderedPageBreak/>
        <w:t>СОДЕРЖАНИЕ</w:t>
      </w:r>
    </w:p>
    <w:p w:rsidR="004E24D3" w:rsidRDefault="0047755F">
      <w:pPr>
        <w:pStyle w:val="13"/>
        <w:tabs>
          <w:tab w:val="right" w:leader="dot" w:pos="9921"/>
        </w:tabs>
      </w:pPr>
      <w:hyperlink w:anchor="__RefHeading___Toc15523_366233758" w:tgtFrame="#__RefHeading___Toc15523_366233758">
        <w:r>
          <w:t>1. Общие сведения</w:t>
        </w:r>
        <w:r>
          <w:tab/>
          <w:t>3</w:t>
        </w:r>
      </w:hyperlink>
    </w:p>
    <w:p w:rsidR="004E24D3" w:rsidRDefault="0047755F">
      <w:pPr>
        <w:pStyle w:val="42"/>
        <w:tabs>
          <w:tab w:val="right" w:leader="dot" w:pos="9921"/>
        </w:tabs>
      </w:pPr>
      <w:hyperlink w:anchor="__RefHeading___Toc15525_366233758" w:tgtFrame="#__RefHeading___Toc15525_366233758">
        <w:r>
          <w:t>1.1. Обозначения и сокращения</w:t>
        </w:r>
        <w:r>
          <w:tab/>
          <w:t>3</w:t>
        </w:r>
      </w:hyperlink>
    </w:p>
    <w:p w:rsidR="004E24D3" w:rsidRDefault="0047755F">
      <w:pPr>
        <w:pStyle w:val="42"/>
        <w:tabs>
          <w:tab w:val="right" w:leader="dot" w:pos="9921"/>
        </w:tabs>
      </w:pPr>
      <w:hyperlink w:anchor="__RefHeading___Toc15527_366233758" w:tgtFrame="#__RefHeading___Toc15527_366233758">
        <w:r>
          <w:t>1.2. Наименование закупаемой продукции</w:t>
        </w:r>
        <w:r>
          <w:tab/>
          <w:t>4</w:t>
        </w:r>
      </w:hyperlink>
    </w:p>
    <w:p w:rsidR="004E24D3" w:rsidRDefault="0047755F">
      <w:pPr>
        <w:pStyle w:val="42"/>
        <w:tabs>
          <w:tab w:val="right" w:leader="dot" w:pos="9921"/>
        </w:tabs>
      </w:pPr>
      <w:hyperlink w:anchor="__RefHeading___Toc15529_366233758" w:tgtFrame="#__RefHeading___Toc15529_366233758">
        <w:r>
          <w:t>1.3. Цель выполнения работ</w:t>
        </w:r>
        <w:r>
          <w:tab/>
          <w:t>4</w:t>
        </w:r>
      </w:hyperlink>
    </w:p>
    <w:p w:rsidR="004E24D3" w:rsidRDefault="0047755F">
      <w:pPr>
        <w:pStyle w:val="42"/>
        <w:tabs>
          <w:tab w:val="right" w:leader="dot" w:pos="9921"/>
        </w:tabs>
      </w:pPr>
      <w:hyperlink w:anchor="__RefHeading___Toc15531_366233758" w:tgtFrame="#__RefHeading___Toc15531_366233758">
        <w:r>
          <w:t>Таблица 1. Перечень объектов заказ</w:t>
        </w:r>
        <w:r>
          <w:t>чика</w:t>
        </w:r>
        <w:r>
          <w:tab/>
          <w:t>4</w:t>
        </w:r>
      </w:hyperlink>
    </w:p>
    <w:p w:rsidR="004E24D3" w:rsidRDefault="0047755F">
      <w:pPr>
        <w:pStyle w:val="42"/>
        <w:tabs>
          <w:tab w:val="right" w:leader="dot" w:pos="9921"/>
        </w:tabs>
      </w:pPr>
      <w:hyperlink w:anchor="__RefHeading___Toc15533_366233758" w:tgtFrame="#__RefHeading___Toc15533_366233758">
        <w:r>
          <w:t>1.4. Иные требования и сведения общего характера</w:t>
        </w:r>
        <w:r>
          <w:tab/>
          <w:t>4</w:t>
        </w:r>
      </w:hyperlink>
    </w:p>
    <w:p w:rsidR="004E24D3" w:rsidRDefault="0047755F">
      <w:pPr>
        <w:pStyle w:val="13"/>
        <w:tabs>
          <w:tab w:val="right" w:leader="dot" w:pos="9921"/>
        </w:tabs>
      </w:pPr>
      <w:hyperlink w:anchor="__RefHeading___Toc15535_366233758" w:tgtFrame="#__RefHeading___Toc15535_366233758">
        <w:r>
          <w:t xml:space="preserve">2. </w:t>
        </w:r>
        <w:r>
          <w:rPr>
            <w:iCs/>
          </w:rPr>
          <w:t>Требования к продукции</w:t>
        </w:r>
        <w:r>
          <w:tab/>
          <w:t>4</w:t>
        </w:r>
      </w:hyperlink>
    </w:p>
    <w:p w:rsidR="004E24D3" w:rsidRDefault="0047755F">
      <w:pPr>
        <w:pStyle w:val="42"/>
        <w:tabs>
          <w:tab w:val="right" w:leader="dot" w:pos="9921"/>
        </w:tabs>
      </w:pPr>
      <w:hyperlink w:anchor="__RefHeading___Toc15537_366233758" w:tgtFrame="#__RefHeading___Toc15537_366233758">
        <w:r>
          <w:t>2.1. Требования к объемам и срокам выполнения работ</w:t>
        </w:r>
        <w:r>
          <w:tab/>
          <w:t>4</w:t>
        </w:r>
      </w:hyperlink>
    </w:p>
    <w:p w:rsidR="004E24D3" w:rsidRDefault="0047755F">
      <w:pPr>
        <w:pStyle w:val="33"/>
        <w:tabs>
          <w:tab w:val="right" w:leader="dot" w:pos="9921"/>
        </w:tabs>
      </w:pPr>
      <w:hyperlink w:anchor="__RefHeading___Toc15539_366233758" w:tgtFrame="#__RefHeading___Toc15539_366233758">
        <w:r>
          <w:t>2.1.1. Требования к видам и объемам работ</w:t>
        </w:r>
        <w:r>
          <w:tab/>
          <w:t>4</w:t>
        </w:r>
      </w:hyperlink>
    </w:p>
    <w:p w:rsidR="004E24D3" w:rsidRDefault="0047755F">
      <w:pPr>
        <w:pStyle w:val="42"/>
        <w:tabs>
          <w:tab w:val="right" w:leader="dot" w:pos="9921"/>
        </w:tabs>
      </w:pPr>
      <w:hyperlink w:anchor="__RefHeading___Toc15541_366233758" w:tgtFrame="#__RefHeading___Toc15541_366233758">
        <w:r>
          <w:t>Таблица 2. Перечень и объем выполняемых работ</w:t>
        </w:r>
        <w:r>
          <w:tab/>
          <w:t>4</w:t>
        </w:r>
      </w:hyperlink>
    </w:p>
    <w:p w:rsidR="004E24D3" w:rsidRDefault="0047755F">
      <w:pPr>
        <w:pStyle w:val="33"/>
        <w:tabs>
          <w:tab w:val="right" w:leader="dot" w:pos="9921"/>
        </w:tabs>
      </w:pPr>
      <w:hyperlink w:anchor="__RefHeading___Toc15543_366233758" w:tgtFrame="#__RefHeading___Toc15543_366233758">
        <w:r>
          <w:t>2.1.2. Требования к срокам выполнения работ</w:t>
        </w:r>
        <w:r>
          <w:tab/>
        </w:r>
      </w:hyperlink>
      <w:r>
        <w:rPr>
          <w:rStyle w:val="affe"/>
        </w:rPr>
        <w:t>10</w:t>
      </w:r>
    </w:p>
    <w:p w:rsidR="004E24D3" w:rsidRDefault="0047755F">
      <w:pPr>
        <w:pStyle w:val="42"/>
        <w:tabs>
          <w:tab w:val="right" w:leader="dot" w:pos="9921"/>
        </w:tabs>
      </w:pPr>
      <w:hyperlink w:anchor="__RefHeading___Toc15545_366233758" w:tgtFrame="#__RefHeading___Toc15545_366233758">
        <w:r>
          <w:t>Таблица 3. Требования по срокам выполнения работ</w:t>
        </w:r>
        <w:r>
          <w:tab/>
        </w:r>
      </w:hyperlink>
      <w:r>
        <w:rPr>
          <w:rStyle w:val="affe"/>
        </w:rPr>
        <w:t>10</w:t>
      </w:r>
    </w:p>
    <w:p w:rsidR="004E24D3" w:rsidRDefault="0047755F">
      <w:pPr>
        <w:pStyle w:val="42"/>
        <w:tabs>
          <w:tab w:val="right" w:leader="dot" w:pos="9921"/>
        </w:tabs>
      </w:pPr>
      <w:hyperlink w:anchor="__RefHeading___Toc15547_366233758" w:tgtFrame="#__RefHeading___Toc15547_366233758">
        <w:r>
          <w:t>2.2. Требования к качеству работ</w:t>
        </w:r>
        <w:r>
          <w:tab/>
        </w:r>
      </w:hyperlink>
      <w:r>
        <w:rPr>
          <w:rStyle w:val="affe"/>
        </w:rPr>
        <w:t>11</w:t>
      </w:r>
    </w:p>
    <w:p w:rsidR="004E24D3" w:rsidRDefault="0047755F">
      <w:pPr>
        <w:pStyle w:val="42"/>
        <w:tabs>
          <w:tab w:val="right" w:leader="dot" w:pos="9921"/>
        </w:tabs>
      </w:pPr>
      <w:hyperlink w:anchor="__RefHeading___Toc15549_366233758" w:tgtFrame="#__RefHeading___Toc15549_366233758">
        <w:r>
          <w:t>Таблица 4. Требования к качеству работ</w:t>
        </w:r>
        <w:r>
          <w:tab/>
        </w:r>
      </w:hyperlink>
      <w:r>
        <w:rPr>
          <w:rStyle w:val="affe"/>
        </w:rPr>
        <w:t>11</w:t>
      </w:r>
    </w:p>
    <w:p w:rsidR="004E24D3" w:rsidRDefault="0047755F">
      <w:pPr>
        <w:pStyle w:val="13"/>
        <w:tabs>
          <w:tab w:val="right" w:leader="dot" w:pos="9921"/>
        </w:tabs>
      </w:pPr>
      <w:r>
        <w:t>3</w:t>
      </w:r>
      <w:hyperlink w:anchor="__RefHeading___Toc15551_366233758" w:tgtFrame="#__RefHeading___Toc15551_366233758">
        <w:r>
          <w:t>. Требования к Участникам закупочных процедур в части ценообразования</w:t>
        </w:r>
        <w:r>
          <w:tab/>
        </w:r>
      </w:hyperlink>
      <w:r>
        <w:t>17</w:t>
      </w:r>
    </w:p>
    <w:p w:rsidR="004E24D3" w:rsidRDefault="0047755F">
      <w:pPr>
        <w:pStyle w:val="13"/>
        <w:tabs>
          <w:tab w:val="right" w:leader="dot" w:pos="9921"/>
        </w:tabs>
      </w:pPr>
      <w:r>
        <w:t>4</w:t>
      </w:r>
      <w:hyperlink w:anchor="__RefHeading___Toc15553_366233758" w:tgtFrame="#__RefHeading___Toc15553_366233758">
        <w:r>
          <w:t xml:space="preserve">. </w:t>
        </w:r>
        <w:r>
          <w:rPr>
            <w:iCs/>
          </w:rPr>
          <w:t>Приложения</w:t>
        </w:r>
        <w:r>
          <w:tab/>
        </w:r>
      </w:hyperlink>
      <w:r>
        <w:t>18</w:t>
      </w:r>
      <w:r>
        <w:br w:type="page"/>
      </w:r>
    </w:p>
    <w:p w:rsidR="004E24D3" w:rsidRDefault="0047755F">
      <w:pPr>
        <w:pStyle w:val="1"/>
        <w:numPr>
          <w:ilvl w:val="0"/>
          <w:numId w:val="6"/>
        </w:numPr>
        <w:spacing w:before="240" w:line="360" w:lineRule="auto"/>
        <w:ind w:left="0" w:firstLine="0"/>
      </w:pPr>
      <w:bookmarkStart w:id="0" w:name="__RefHeading___Toc15523_366233758_Копия_"/>
      <w:bookmarkStart w:id="1" w:name="_Toc123118734_Копия_8"/>
      <w:bookmarkEnd w:id="0"/>
      <w:bookmarkEnd w:id="1"/>
      <w:r>
        <w:lastRenderedPageBreak/>
        <w:t>Общие сведения</w:t>
      </w:r>
    </w:p>
    <w:p w:rsidR="004E24D3" w:rsidRDefault="0047755F">
      <w:pPr>
        <w:pStyle w:val="4"/>
        <w:numPr>
          <w:ilvl w:val="1"/>
          <w:numId w:val="6"/>
        </w:numPr>
      </w:pPr>
      <w:bookmarkStart w:id="2" w:name="__RefHeading___Toc15525_366233758_Копия_"/>
      <w:bookmarkStart w:id="3" w:name="_Toc123118735_Копия_8"/>
      <w:bookmarkEnd w:id="2"/>
      <w:bookmarkEnd w:id="3"/>
      <w:r>
        <w:t>Обозначения и сокращения</w:t>
      </w:r>
    </w:p>
    <w:p w:rsidR="004E24D3" w:rsidRDefault="004E24D3"/>
    <w:tbl>
      <w:tblPr>
        <w:tblW w:w="9675" w:type="dxa"/>
        <w:jc w:val="center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125"/>
        <w:gridCol w:w="8550"/>
      </w:tblGrid>
      <w:tr w:rsidR="004E24D3">
        <w:trPr>
          <w:cantSplit/>
          <w:jc w:val="center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ППР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ind w:left="227" w:right="22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Style w:val="aff3"/>
                <w:b w:val="0"/>
                <w:bCs/>
                <w:i w:val="0"/>
                <w:iCs/>
                <w:sz w:val="24"/>
                <w:szCs w:val="24"/>
                <w:highlight w:val="white"/>
              </w:rPr>
              <w:t>Проект производства работ</w:t>
            </w:r>
          </w:p>
        </w:tc>
      </w:tr>
      <w:tr w:rsidR="004E24D3">
        <w:trPr>
          <w:cantSplit/>
          <w:jc w:val="center"/>
        </w:trPr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8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ind w:left="227" w:right="22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Style w:val="aff3"/>
                <w:b w:val="0"/>
                <w:bCs/>
                <w:i w:val="0"/>
                <w:iCs/>
                <w:sz w:val="24"/>
                <w:szCs w:val="24"/>
                <w:highlight w:val="white"/>
              </w:rPr>
              <w:t>Горюче-смазочные материалы</w:t>
            </w:r>
          </w:p>
        </w:tc>
      </w:tr>
      <w:tr w:rsidR="004E24D3">
        <w:trPr>
          <w:cantSplit/>
          <w:jc w:val="center"/>
        </w:trPr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ДЭС</w:t>
            </w:r>
          </w:p>
        </w:tc>
        <w:tc>
          <w:tcPr>
            <w:tcW w:w="8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ind w:left="227" w:right="22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Style w:val="aff3"/>
                <w:b w:val="0"/>
                <w:bCs/>
                <w:i w:val="0"/>
                <w:iCs/>
                <w:sz w:val="24"/>
                <w:szCs w:val="24"/>
                <w:highlight w:val="white"/>
              </w:rPr>
              <w:t>Дизельная электростанция</w:t>
            </w:r>
          </w:p>
        </w:tc>
      </w:tr>
      <w:tr w:rsidR="004E24D3">
        <w:trPr>
          <w:cantSplit/>
          <w:jc w:val="center"/>
        </w:trPr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8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ind w:left="227" w:right="227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Style w:val="aff3"/>
                <w:b w:val="0"/>
                <w:bCs/>
                <w:i w:val="0"/>
                <w:iCs/>
                <w:sz w:val="24"/>
                <w:szCs w:val="24"/>
                <w:highlight w:val="white"/>
              </w:rPr>
              <w:t>Технические требования</w:t>
            </w:r>
          </w:p>
        </w:tc>
      </w:tr>
      <w:tr w:rsidR="004E24D3">
        <w:trPr>
          <w:cantSplit/>
          <w:jc w:val="center"/>
        </w:trPr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КС-2</w:t>
            </w:r>
          </w:p>
        </w:tc>
        <w:tc>
          <w:tcPr>
            <w:tcW w:w="8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ind w:left="227" w:right="227"/>
              <w:jc w:val="both"/>
              <w:rPr>
                <w:sz w:val="24"/>
                <w:szCs w:val="24"/>
              </w:rPr>
            </w:pP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>Форма акта о приемке выполненных работ</w:t>
            </w:r>
          </w:p>
        </w:tc>
      </w:tr>
      <w:tr w:rsidR="004E24D3">
        <w:trPr>
          <w:cantSplit/>
          <w:jc w:val="center"/>
        </w:trPr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КС-3</w:t>
            </w:r>
          </w:p>
        </w:tc>
        <w:tc>
          <w:tcPr>
            <w:tcW w:w="8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ind w:left="227" w:right="227"/>
              <w:jc w:val="both"/>
              <w:rPr>
                <w:sz w:val="24"/>
                <w:szCs w:val="24"/>
              </w:rPr>
            </w:pP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 xml:space="preserve">Форма справки о </w:t>
            </w: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>стоимости выполненных работ и затрат</w:t>
            </w:r>
          </w:p>
        </w:tc>
      </w:tr>
      <w:tr w:rsidR="004E24D3">
        <w:trPr>
          <w:cantSplit/>
          <w:trHeight w:val="609"/>
          <w:jc w:val="center"/>
        </w:trPr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ОС-3</w:t>
            </w:r>
          </w:p>
        </w:tc>
        <w:tc>
          <w:tcPr>
            <w:tcW w:w="8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spacing w:before="120" w:line="360" w:lineRule="auto"/>
              <w:ind w:left="227" w:right="227"/>
              <w:jc w:val="both"/>
              <w:rPr>
                <w:sz w:val="24"/>
                <w:szCs w:val="24"/>
              </w:rPr>
            </w:pPr>
            <w:r>
              <w:rPr>
                <w:bCs/>
                <w:color w:val="202124"/>
                <w:sz w:val="24"/>
                <w:szCs w:val="24"/>
                <w:shd w:val="clear" w:color="auto" w:fill="FFFFFF"/>
              </w:rPr>
              <w:t>Акт о приеме-сдаче отремонтированных, реконструированных, модернизированных объектов основных средств</w:t>
            </w:r>
          </w:p>
        </w:tc>
      </w:tr>
    </w:tbl>
    <w:p w:rsidR="004E24D3" w:rsidRDefault="004E24D3">
      <w:pPr>
        <w:keepNext/>
        <w:keepLines/>
        <w:widowControl w:val="0"/>
        <w:jc w:val="both"/>
        <w:rPr>
          <w:sz w:val="24"/>
          <w:szCs w:val="24"/>
        </w:rPr>
      </w:pPr>
    </w:p>
    <w:p w:rsidR="004E24D3" w:rsidRDefault="004E24D3">
      <w:pPr>
        <w:keepNext/>
        <w:keepLines/>
        <w:jc w:val="both"/>
        <w:rPr>
          <w:sz w:val="24"/>
          <w:szCs w:val="24"/>
        </w:rPr>
      </w:pPr>
    </w:p>
    <w:p w:rsidR="004E24D3" w:rsidRDefault="0047755F">
      <w:pPr>
        <w:keepNext/>
        <w:keepLines/>
        <w:rPr>
          <w:sz w:val="24"/>
          <w:szCs w:val="24"/>
        </w:rPr>
      </w:pPr>
      <w:r>
        <w:br w:type="page"/>
      </w:r>
    </w:p>
    <w:p w:rsidR="004E24D3" w:rsidRDefault="0047755F">
      <w:pPr>
        <w:pStyle w:val="4"/>
        <w:numPr>
          <w:ilvl w:val="1"/>
          <w:numId w:val="6"/>
        </w:numPr>
        <w:tabs>
          <w:tab w:val="left" w:pos="0"/>
        </w:tabs>
        <w:jc w:val="left"/>
      </w:pPr>
      <w:bookmarkStart w:id="4" w:name="__RefHeading___Toc15527_366233758_Копия_"/>
      <w:bookmarkStart w:id="5" w:name="_Toc123118736_Копия_8"/>
      <w:bookmarkEnd w:id="4"/>
      <w:bookmarkEnd w:id="5"/>
      <w:r>
        <w:lastRenderedPageBreak/>
        <w:t>Наименование закупаемой продукции</w:t>
      </w:r>
    </w:p>
    <w:p w:rsidR="004E24D3" w:rsidRDefault="0047755F">
      <w:pPr>
        <w:jc w:val="both"/>
      </w:pPr>
      <w:r>
        <w:rPr>
          <w:rFonts w:eastAsia="Calibri"/>
          <w:color w:val="000000" w:themeColor="text1"/>
          <w:sz w:val="26"/>
          <w:szCs w:val="26"/>
          <w:lang w:eastAsia="en-US"/>
        </w:rPr>
        <w:t xml:space="preserve">ОКПД2 - 33.11.12.000 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zh-CN"/>
        </w:rPr>
        <w:t xml:space="preserve">Ремонт и замена металлических рам с ложементами </w:t>
      </w:r>
      <w:r>
        <w:rPr>
          <w:color w:val="000000"/>
          <w:sz w:val="24"/>
          <w:szCs w:val="24"/>
          <w:lang w:eastAsia="zh-CN"/>
        </w:rPr>
        <w:t>для резервуаров  РГС-50 м3  склада ГСМ ДЭС п. Саккырыр Эвено-Бытантайского РЭС</w:t>
      </w:r>
    </w:p>
    <w:p w:rsidR="004E24D3" w:rsidRDefault="0047755F">
      <w:pPr>
        <w:pStyle w:val="4"/>
        <w:numPr>
          <w:ilvl w:val="1"/>
          <w:numId w:val="6"/>
        </w:numPr>
        <w:tabs>
          <w:tab w:val="left" w:pos="0"/>
        </w:tabs>
        <w:spacing w:before="240"/>
        <w:jc w:val="left"/>
      </w:pPr>
      <w:bookmarkStart w:id="6" w:name="__RefHeading___Toc15529_366233758_Копия_"/>
      <w:bookmarkStart w:id="7" w:name="_Toc123118737_Копия_8"/>
      <w:bookmarkEnd w:id="6"/>
      <w:bookmarkEnd w:id="7"/>
      <w:r>
        <w:t xml:space="preserve">Цель выполнения работ </w:t>
      </w:r>
    </w:p>
    <w:p w:rsidR="004E24D3" w:rsidRDefault="0047755F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Ремонтная программа 2026 г.</w:t>
      </w:r>
    </w:p>
    <w:p w:rsidR="004E24D3" w:rsidRDefault="004E24D3">
      <w:pPr>
        <w:jc w:val="both"/>
        <w:rPr>
          <w:sz w:val="24"/>
          <w:szCs w:val="24"/>
        </w:rPr>
      </w:pPr>
    </w:p>
    <w:p w:rsidR="004E24D3" w:rsidRDefault="0047755F">
      <w:pPr>
        <w:pStyle w:val="4"/>
        <w:numPr>
          <w:ilvl w:val="1"/>
          <w:numId w:val="3"/>
        </w:numPr>
        <w:tabs>
          <w:tab w:val="left" w:pos="0"/>
        </w:tabs>
      </w:pPr>
      <w:bookmarkStart w:id="8" w:name="__RefHeading___Toc15531_366233758_Копия_"/>
      <w:bookmarkEnd w:id="8"/>
      <w:r>
        <w:t>Таблица 1. Перечень объектов заказчика</w:t>
      </w:r>
    </w:p>
    <w:tbl>
      <w:tblPr>
        <w:tblW w:w="9916" w:type="dxa"/>
        <w:jc w:val="center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2569"/>
        <w:gridCol w:w="2278"/>
        <w:gridCol w:w="2680"/>
        <w:gridCol w:w="1573"/>
      </w:tblGrid>
      <w:tr w:rsidR="004E24D3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4E24D3">
        <w:trPr>
          <w:jc w:val="center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4E24D3">
        <w:trPr>
          <w:trHeight w:val="881"/>
          <w:jc w:val="center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E24D3">
            <w:pPr>
              <w:pStyle w:val="aff2"/>
              <w:widowControl w:val="0"/>
              <w:numPr>
                <w:ilvl w:val="0"/>
                <w:numId w:val="8"/>
              </w:numPr>
              <w:ind w:left="0" w:firstLine="0"/>
              <w:contextualSpacing w:val="0"/>
              <w:jc w:val="center"/>
            </w:pPr>
          </w:p>
        </w:tc>
        <w:tc>
          <w:tcPr>
            <w:tcW w:w="2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Склад горюче-смазочных материалов ДЭС п. Саккырыр Эвено-Бытантайского РЭС</w:t>
            </w:r>
          </w:p>
        </w:tc>
        <w:tc>
          <w:tcPr>
            <w:tcW w:w="2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i/>
                <w:sz w:val="24"/>
              </w:rPr>
              <w:t>Республика Саха (Якутия), Эвено-Бытантайский район,</w:t>
            </w:r>
            <w:r>
              <w:rPr>
                <w:i/>
                <w:sz w:val="24"/>
                <w:szCs w:val="24"/>
              </w:rPr>
              <w:t xml:space="preserve"> п. Саккырыр</w:t>
            </w:r>
          </w:p>
        </w:tc>
        <w:tc>
          <w:tcPr>
            <w:tcW w:w="2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</w:pP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</w:pPr>
          </w:p>
        </w:tc>
      </w:tr>
    </w:tbl>
    <w:p w:rsidR="004E24D3" w:rsidRDefault="0047755F">
      <w:pPr>
        <w:pStyle w:val="4"/>
        <w:widowControl w:val="0"/>
        <w:numPr>
          <w:ilvl w:val="1"/>
          <w:numId w:val="6"/>
        </w:numPr>
        <w:tabs>
          <w:tab w:val="left" w:pos="0"/>
        </w:tabs>
        <w:jc w:val="left"/>
      </w:pPr>
      <w:bookmarkStart w:id="9" w:name="__RefHeading___Toc15533_366233758_Копия_"/>
      <w:bookmarkEnd w:id="9"/>
      <w:r>
        <w:t xml:space="preserve">Иные требования и сведения общего характера </w:t>
      </w:r>
    </w:p>
    <w:p w:rsidR="004E24D3" w:rsidRDefault="0047755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Полная детализация выполняемых работ указана в перечне и объемах выполняемых работ (Таблица № 2), являющейся неотъемлемой частью настоящих технических требований. </w:t>
      </w:r>
    </w:p>
    <w:p w:rsidR="004E24D3" w:rsidRDefault="0047755F">
      <w:pPr>
        <w:pStyle w:val="1"/>
        <w:keepLines/>
        <w:numPr>
          <w:ilvl w:val="0"/>
          <w:numId w:val="6"/>
        </w:numPr>
        <w:tabs>
          <w:tab w:val="left" w:pos="0"/>
        </w:tabs>
        <w:spacing w:before="240" w:line="360" w:lineRule="auto"/>
        <w:ind w:left="0" w:hanging="340"/>
      </w:pPr>
      <w:bookmarkStart w:id="10" w:name="__RefHeading___Toc15535_366233758_Копия_"/>
      <w:bookmarkStart w:id="11" w:name="_Toc51339693_Копия_8"/>
      <w:bookmarkEnd w:id="10"/>
      <w:bookmarkEnd w:id="11"/>
      <w:r>
        <w:rPr>
          <w:iCs/>
        </w:rPr>
        <w:t>Требования к продукции</w:t>
      </w:r>
    </w:p>
    <w:p w:rsidR="004E24D3" w:rsidRDefault="0047755F">
      <w:pPr>
        <w:pStyle w:val="4"/>
        <w:numPr>
          <w:ilvl w:val="1"/>
          <w:numId w:val="6"/>
        </w:numPr>
        <w:tabs>
          <w:tab w:val="left" w:pos="0"/>
        </w:tabs>
        <w:jc w:val="left"/>
      </w:pPr>
      <w:bookmarkStart w:id="12" w:name="__RefHeading___Toc15537_366233758_Копия_"/>
      <w:bookmarkEnd w:id="12"/>
      <w:r>
        <w:t>Требования к объемам и с</w:t>
      </w:r>
      <w:r>
        <w:t>рокам выполнения работ</w:t>
      </w:r>
    </w:p>
    <w:p w:rsidR="004E24D3" w:rsidRDefault="0047755F">
      <w:pPr>
        <w:pStyle w:val="3"/>
        <w:numPr>
          <w:ilvl w:val="2"/>
          <w:numId w:val="6"/>
        </w:numPr>
        <w:tabs>
          <w:tab w:val="left" w:pos="0"/>
        </w:tabs>
        <w:jc w:val="left"/>
      </w:pPr>
      <w:bookmarkStart w:id="13" w:name="__RefHeading___Toc15539_366233758_Копия_"/>
      <w:bookmarkEnd w:id="13"/>
      <w:r>
        <w:t>Требования к видам и объемам работ</w:t>
      </w:r>
    </w:p>
    <w:p w:rsidR="004E24D3" w:rsidRDefault="0047755F">
      <w:pPr>
        <w:pStyle w:val="4"/>
        <w:numPr>
          <w:ilvl w:val="1"/>
          <w:numId w:val="3"/>
        </w:numPr>
        <w:tabs>
          <w:tab w:val="left" w:pos="0"/>
        </w:tabs>
        <w:jc w:val="left"/>
      </w:pPr>
      <w:bookmarkStart w:id="14" w:name="__RefHeading___Toc15541_366233758_Копия_"/>
      <w:bookmarkStart w:id="15" w:name="_Toc123118743_Копия_8"/>
      <w:bookmarkEnd w:id="14"/>
      <w:bookmarkEnd w:id="15"/>
      <w:r>
        <w:t>Таблица 2. Перечень и объем выполняемых работ</w:t>
      </w:r>
    </w:p>
    <w:tbl>
      <w:tblPr>
        <w:tblStyle w:val="affffc"/>
        <w:tblW w:w="5000" w:type="pct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566"/>
        <w:gridCol w:w="5933"/>
        <w:gridCol w:w="1520"/>
        <w:gridCol w:w="1634"/>
      </w:tblGrid>
      <w:tr w:rsidR="004E24D3">
        <w:trPr>
          <w:trHeight w:val="6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 работ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Количество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 1. Ремонт санных оснований РГС-50 м3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E24D3" w:rsidRDefault="0047755F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Ремонт основания (сварочные работы)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Швеллер </w:t>
            </w:r>
            <w:r>
              <w:rPr>
                <w:color w:val="000000"/>
                <w:sz w:val="22"/>
                <w:szCs w:val="22"/>
              </w:rPr>
              <w:t>20У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м/тн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156/2,87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Ремонт ложементов (сварочные работы)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шт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металлический 5 мм Ст.3сп (39,25 кг/м2)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м2/тн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27/1,06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металлический 8 мм Ст.3сп (62,8 кг/м2)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м2/тн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36/2,261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металлический 10 мм Ст.3сп (78,5 кг/м2)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м2/тн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18/1,413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Антикоррозионная защита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Покрытие металлических поверхностей Грунтовкой ГФ-021 в 1 слой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м2/кг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187/23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Окраска металлических поверхностей краской БТ-177 серебрянка в 2 слоя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м2/кг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374/46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 2. Ремонт санных оснований РГС-55 м3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E24D3" w:rsidRDefault="0047755F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Ремонт основания (сварочные работы)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Швеллер 20У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м/тн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60/1,104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Ремонт ложементов (сварочные работы)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шт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металлический 5 мм Ст.3сп (39,25 кг/м2)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м2/тн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36/1,413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металлический 10 мм Ст.3сп (78,5 кг/м2)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м2/тн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9/0,707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Антикоррозионная защита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E24D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Покрытие металлических поверхностей Грунтовкой ГФ-021 в 1 слой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м2/кг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86/11</w:t>
            </w:r>
          </w:p>
        </w:tc>
      </w:tr>
      <w:tr w:rsidR="004E24D3">
        <w:trPr>
          <w:trHeight w:val="300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3.2</w:t>
            </w:r>
          </w:p>
        </w:tc>
        <w:tc>
          <w:tcPr>
            <w:tcW w:w="5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Окраска металлических поверхностей краской БТ-177 серебрянка в 2 слоя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м2/кг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172/22</w:t>
            </w:r>
          </w:p>
        </w:tc>
      </w:tr>
    </w:tbl>
    <w:p w:rsidR="004E24D3" w:rsidRDefault="004E24D3">
      <w:pPr>
        <w:widowControl w:val="0"/>
        <w:rPr>
          <w:sz w:val="24"/>
          <w:szCs w:val="24"/>
        </w:rPr>
      </w:pPr>
    </w:p>
    <w:p w:rsidR="004E24D3" w:rsidRDefault="0047755F">
      <w:pPr>
        <w:pStyle w:val="3"/>
        <w:numPr>
          <w:ilvl w:val="2"/>
          <w:numId w:val="6"/>
        </w:numPr>
        <w:tabs>
          <w:tab w:val="left" w:pos="0"/>
        </w:tabs>
      </w:pPr>
      <w:bookmarkStart w:id="16" w:name="__RefHeading___Toc15543_366233758_Копия_"/>
      <w:bookmarkStart w:id="17" w:name="_Toc123118744_Копия_8"/>
      <w:bookmarkEnd w:id="16"/>
      <w:bookmarkEnd w:id="17"/>
      <w:r>
        <w:t>Требования к срокам выполнения работ</w:t>
      </w:r>
    </w:p>
    <w:p w:rsidR="004E24D3" w:rsidRDefault="0047755F">
      <w:pPr>
        <w:pStyle w:val="4"/>
        <w:numPr>
          <w:ilvl w:val="1"/>
          <w:numId w:val="3"/>
        </w:numPr>
        <w:tabs>
          <w:tab w:val="left" w:pos="0"/>
        </w:tabs>
      </w:pPr>
      <w:bookmarkStart w:id="18" w:name="__RefHeading___Toc15545_366233758_Копия_"/>
      <w:bookmarkStart w:id="19" w:name="_Toc123118745_Копия_8"/>
      <w:bookmarkStart w:id="20" w:name="_Toc50125127_Копия_8"/>
      <w:bookmarkEnd w:id="18"/>
      <w:bookmarkEnd w:id="19"/>
      <w:bookmarkEnd w:id="20"/>
      <w:r>
        <w:t xml:space="preserve">Таблица 3. Требования </w:t>
      </w:r>
      <w:r>
        <w:t>по срокам выполнения работ</w:t>
      </w:r>
    </w:p>
    <w:p w:rsidR="004E24D3" w:rsidRDefault="004E24D3">
      <w:pPr>
        <w:sectPr w:rsidR="004E24D3">
          <w:pgSz w:w="11906" w:h="16838"/>
          <w:pgMar w:top="851" w:right="851" w:bottom="851" w:left="1418" w:header="0" w:footer="0" w:gutter="0"/>
          <w:cols w:space="720"/>
          <w:formProt w:val="0"/>
          <w:docGrid w:linePitch="100"/>
        </w:sectPr>
      </w:pPr>
    </w:p>
    <w:tbl>
      <w:tblPr>
        <w:tblW w:w="9630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63"/>
        <w:gridCol w:w="4394"/>
        <w:gridCol w:w="2420"/>
        <w:gridCol w:w="2253"/>
      </w:tblGrid>
      <w:tr w:rsidR="004E24D3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4E24D3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pStyle w:val="affff6"/>
              <w:widowControl w:val="0"/>
              <w:spacing w:before="0" w:after="0"/>
              <w:ind w:left="0" w:right="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pStyle w:val="affff6"/>
              <w:widowControl w:val="0"/>
              <w:spacing w:before="0" w:after="0"/>
              <w:ind w:left="0" w:right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E24D3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pStyle w:val="aff2"/>
              <w:widowControl w:val="0"/>
              <w:numPr>
                <w:ilvl w:val="0"/>
                <w:numId w:val="9"/>
              </w:numPr>
              <w:ind w:left="0" w:firstLine="0"/>
              <w:contextualSpacing w:val="0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ОКПД2 - 33.11.12.000 </w:t>
            </w:r>
            <w:r>
              <w:rPr>
                <w:color w:val="000000"/>
                <w:sz w:val="24"/>
                <w:szCs w:val="24"/>
                <w:lang w:eastAsia="zh-CN"/>
              </w:rPr>
              <w:t xml:space="preserve">Ремонт и замена </w:t>
            </w:r>
            <w:r>
              <w:rPr>
                <w:color w:val="000000"/>
                <w:sz w:val="24"/>
                <w:szCs w:val="24"/>
                <w:lang w:eastAsia="zh-CN"/>
              </w:rPr>
              <w:t>металлических рам с ложементами для резервуаров  РГС-50 м3  склада ГСМ ДЭС п. Саккырыр Эвено-Бытантайского РЭС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Не позднее 20.08.2026 года</w:t>
            </w:r>
          </w:p>
        </w:tc>
      </w:tr>
    </w:tbl>
    <w:p w:rsidR="004E24D3" w:rsidRDefault="004E24D3"/>
    <w:p w:rsidR="004E24D3" w:rsidRDefault="004E24D3">
      <w:pPr>
        <w:sectPr w:rsidR="004E24D3">
          <w:type w:val="continuous"/>
          <w:pgSz w:w="11906" w:h="16838"/>
          <w:pgMar w:top="851" w:right="851" w:bottom="851" w:left="1418" w:header="0" w:footer="0" w:gutter="0"/>
          <w:cols w:space="720"/>
          <w:formProt w:val="0"/>
          <w:docGrid w:linePitch="100"/>
        </w:sectPr>
      </w:pPr>
    </w:p>
    <w:p w:rsidR="004E24D3" w:rsidRDefault="004E24D3">
      <w:pPr>
        <w:pStyle w:val="4"/>
        <w:keepLines/>
        <w:widowControl w:val="0"/>
        <w:tabs>
          <w:tab w:val="left" w:pos="0"/>
        </w:tabs>
        <w:spacing w:line="360" w:lineRule="auto"/>
        <w:ind w:left="0" w:firstLine="567"/>
        <w:jc w:val="both"/>
      </w:pPr>
    </w:p>
    <w:p w:rsidR="004E24D3" w:rsidRDefault="004E24D3">
      <w:pPr>
        <w:sectPr w:rsidR="004E24D3">
          <w:type w:val="continuous"/>
          <w:pgSz w:w="11906" w:h="16838"/>
          <w:pgMar w:top="851" w:right="851" w:bottom="851" w:left="1418" w:header="0" w:footer="0" w:gutter="0"/>
          <w:cols w:space="720"/>
          <w:formProt w:val="0"/>
          <w:docGrid w:linePitch="100"/>
        </w:sectPr>
      </w:pPr>
    </w:p>
    <w:p w:rsidR="004E24D3" w:rsidRDefault="0047755F">
      <w:pPr>
        <w:pStyle w:val="4"/>
        <w:widowControl w:val="0"/>
        <w:numPr>
          <w:ilvl w:val="1"/>
          <w:numId w:val="6"/>
        </w:numPr>
        <w:tabs>
          <w:tab w:val="left" w:pos="0"/>
        </w:tabs>
      </w:pPr>
      <w:bookmarkStart w:id="21" w:name="__RefHeading___Toc15547_366233758_Копия_"/>
      <w:bookmarkEnd w:id="21"/>
      <w:r>
        <w:lastRenderedPageBreak/>
        <w:t>Требования к качеству работ</w:t>
      </w:r>
    </w:p>
    <w:p w:rsidR="004E24D3" w:rsidRDefault="0047755F">
      <w:pPr>
        <w:pStyle w:val="4"/>
        <w:numPr>
          <w:ilvl w:val="1"/>
          <w:numId w:val="3"/>
        </w:numPr>
        <w:tabs>
          <w:tab w:val="left" w:pos="0"/>
        </w:tabs>
        <w:ind w:left="0" w:firstLine="0"/>
      </w:pPr>
      <w:bookmarkStart w:id="22" w:name="__RefHeading___Toc15549_366233758_Копия_"/>
      <w:bookmarkStart w:id="23" w:name="_Toc123118747_Копия_8"/>
      <w:bookmarkEnd w:id="22"/>
      <w:bookmarkEnd w:id="23"/>
      <w:r>
        <w:t xml:space="preserve">Таблица 4. Требования к качеству работ </w:t>
      </w:r>
    </w:p>
    <w:p w:rsidR="004E24D3" w:rsidRDefault="0047755F">
      <w:pPr>
        <w:spacing w:after="120"/>
        <w:rPr>
          <w:sz w:val="24"/>
          <w:szCs w:val="24"/>
        </w:rPr>
      </w:pPr>
      <w:r>
        <w:rPr>
          <w:b/>
          <w:bCs/>
          <w:sz w:val="24"/>
          <w:szCs w:val="24"/>
        </w:rPr>
        <w:t>Наименование работ/этапа работ (Таблицы 2):</w:t>
      </w:r>
      <w:r>
        <w:rPr>
          <w:b/>
          <w:bCs/>
          <w:sz w:val="22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ОКПД2 - 33.11.12.000 </w:t>
      </w:r>
      <w:r>
        <w:rPr>
          <w:rFonts w:eastAsia="Calibri"/>
          <w:b/>
          <w:bCs/>
          <w:color w:val="000000" w:themeColor="text1"/>
          <w:sz w:val="24"/>
          <w:szCs w:val="24"/>
          <w:lang w:eastAsia="en-US"/>
        </w:rPr>
        <w:t xml:space="preserve"> </w:t>
      </w:r>
      <w:r>
        <w:rPr>
          <w:b/>
          <w:bCs/>
          <w:color w:val="000000"/>
          <w:sz w:val="24"/>
          <w:szCs w:val="24"/>
          <w:lang w:eastAsia="zh-CN"/>
        </w:rPr>
        <w:t>Ремонт и замена металлических рам с ложементами для резервуаров  РГС-50 м3  склада ГСМ ДЭС п. Саккырыр Эвено-Бытантайского РЭС</w:t>
      </w:r>
    </w:p>
    <w:p w:rsidR="004E24D3" w:rsidRDefault="004E24D3">
      <w:pPr>
        <w:rPr>
          <w:b/>
          <w:i/>
          <w:sz w:val="24"/>
          <w:szCs w:val="24"/>
        </w:rPr>
      </w:pPr>
    </w:p>
    <w:tbl>
      <w:tblPr>
        <w:tblW w:w="153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18"/>
        <w:gridCol w:w="3331"/>
        <w:gridCol w:w="369"/>
        <w:gridCol w:w="3821"/>
        <w:gridCol w:w="1861"/>
        <w:gridCol w:w="2469"/>
        <w:gridCol w:w="2639"/>
      </w:tblGrid>
      <w:tr w:rsidR="004E24D3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</w:rPr>
              <w:t>параметра</w:t>
            </w:r>
          </w:p>
        </w:tc>
        <w:tc>
          <w:tcPr>
            <w:tcW w:w="3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4E24D3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</w:t>
            </w:r>
            <w:r>
              <w:rPr>
                <w:b/>
                <w:bCs/>
                <w:sz w:val="24"/>
                <w:szCs w:val="24"/>
              </w:rPr>
              <w:t>подтверждения</w:t>
            </w:r>
          </w:p>
        </w:tc>
        <w:tc>
          <w:tcPr>
            <w:tcW w:w="2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0"/>
                <w:szCs w:val="24"/>
              </w:rPr>
              <w:t>1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0"/>
                <w:szCs w:val="24"/>
              </w:rPr>
              <w:t>2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0"/>
                <w:szCs w:val="24"/>
              </w:rPr>
              <w:t>3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0"/>
                <w:szCs w:val="24"/>
              </w:rPr>
              <w:t>4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0"/>
                <w:szCs w:val="24"/>
              </w:rPr>
              <w:t>5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0"/>
                <w:szCs w:val="24"/>
              </w:rPr>
              <w:t>6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0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sz w:val="24"/>
                <w:szCs w:val="24"/>
              </w:rPr>
              <w:t xml:space="preserve">Полная детализация выполняемых работ указана в перечне объемов работ (Таблица №2), являющейся неотъемлемой частью настоящих технических </w:t>
            </w:r>
            <w:r>
              <w:rPr>
                <w:sz w:val="24"/>
                <w:szCs w:val="24"/>
              </w:rPr>
              <w:t>требований.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lang w:eastAsia="hi-IN" w:bidi="hi-IN"/>
              </w:rPr>
              <w:t>Результат работ должен соответствовать:</w:t>
            </w:r>
          </w:p>
          <w:p w:rsidR="004E24D3" w:rsidRDefault="0047755F">
            <w:pPr>
              <w:widowControl w:val="0"/>
              <w:tabs>
                <w:tab w:val="left" w:pos="459"/>
              </w:tabs>
              <w:jc w:val="both"/>
            </w:pPr>
            <w:r>
              <w:rPr>
                <w:rFonts w:eastAsia="Lucida Sans Unicode"/>
                <w:sz w:val="24"/>
                <w:lang w:eastAsia="hi-IN" w:bidi="hi-IN"/>
              </w:rPr>
              <w:t>- Настоящим техническим требованиям,</w:t>
            </w:r>
            <w:r>
              <w:rPr>
                <w:sz w:val="24"/>
              </w:rPr>
              <w:t xml:space="preserve"> перечню и</w:t>
            </w:r>
            <w:r>
              <w:rPr>
                <w:rFonts w:eastAsia="Lucida Sans Unicode"/>
                <w:sz w:val="24"/>
                <w:lang w:eastAsia="hi-IN" w:bidi="hi-IN"/>
              </w:rPr>
              <w:t xml:space="preserve"> объемам работ, являющейся неотъемлемой частью настоящих технических требований (Таблица №2), рабочей документации и условиям договора;</w:t>
            </w:r>
          </w:p>
          <w:p w:rsidR="004E24D3" w:rsidRDefault="0047755F">
            <w:pPr>
              <w:widowControl w:val="0"/>
              <w:tabs>
                <w:tab w:val="left" w:pos="427"/>
              </w:tabs>
              <w:jc w:val="both"/>
            </w:pPr>
            <w:r>
              <w:rPr>
                <w:rFonts w:eastAsia="Lucida Sans Unicode"/>
                <w:sz w:val="24"/>
                <w:lang w:eastAsia="hi-IN" w:bidi="hi-IN"/>
              </w:rPr>
              <w:t xml:space="preserve">- Требованиям, предъявляемым к такому виду работ действующей нормативно-технической документацией, законодательством РФ </w:t>
            </w:r>
            <w:r>
              <w:rPr>
                <w:rFonts w:eastAsia="Lucida Sans Unicode"/>
                <w:sz w:val="24"/>
                <w:lang w:eastAsia="hi-IN" w:bidi="hi-IN"/>
              </w:rPr>
              <w:t>и подзаконными актами.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1.1.3</w:t>
            </w:r>
            <w:r>
              <w:t>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lang w:eastAsia="hi-IN" w:bidi="hi-IN"/>
              </w:rPr>
              <w:t xml:space="preserve">Качество выполненных Подрядчиком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</w:t>
            </w:r>
            <w:r>
              <w:rPr>
                <w:rFonts w:eastAsia="Lucida Sans Unicode"/>
                <w:sz w:val="24"/>
                <w:lang w:eastAsia="hi-IN" w:bidi="hi-IN"/>
              </w:rPr>
              <w:t>подряда.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lang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 контроль над выполнением работ и ответственного за персонал Подрядчика, и технику безопасности при пр</w:t>
            </w:r>
            <w:r>
              <w:rPr>
                <w:rFonts w:eastAsia="Lucida Sans Unicode"/>
                <w:sz w:val="24"/>
                <w:lang w:eastAsia="hi-IN" w:bidi="hi-IN"/>
              </w:rPr>
              <w:t>оведении работ.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lang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rFonts w:eastAsia="Arial Unicode MS"/>
                <w:sz w:val="24"/>
                <w:szCs w:val="24"/>
              </w:rPr>
              <w:t>Последовательность и сроки выполнения работ определяются линейным графиком выполнения работ и проектом производства работ (ППР), который разрабатывается Подрядчиком и согласовывается Заказчиком.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Для фиксации выполнения скрытых работ Подрядчик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готовит акты скрытых работ, приглашает представителя Заказчика для предъявления таких работ и подписания актов до момента выполнения последующих работ.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Работы выполняются в строгом соответствии с: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условиями договора подряда, перечню и объемам выполняемых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работ (Таблица №2), рабочей документации, являющихся неотъемлемой частью настоящих технических требований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rFonts w:eastAsia="Arial Unicode MS"/>
                <w:sz w:val="24"/>
                <w:szCs w:val="24"/>
              </w:rPr>
              <w:t xml:space="preserve">Работы должны быть организованы в соответствии с «Правилами организации технического обслуживания и ремонта </w:t>
            </w:r>
            <w:r>
              <w:rPr>
                <w:rFonts w:eastAsia="Arial Unicode MS"/>
                <w:sz w:val="24"/>
                <w:szCs w:val="24"/>
              </w:rPr>
              <w:t>оборудования, зданий и сооружений электростанций и сетей» СО 34.04.181-2003, Регламентом «Допуска подрядных организаций и командированного персонала на объекты АО «Сахаэнерго» ИСМ РГ-00-017.03-23 (Приложение №1 к настоящим Техническим требованиям) и другим</w:t>
            </w:r>
            <w:r>
              <w:rPr>
                <w:rFonts w:eastAsia="Arial Unicode MS"/>
                <w:sz w:val="24"/>
                <w:szCs w:val="24"/>
              </w:rPr>
              <w:t xml:space="preserve">и действующими нормативными документами отрасли. Подрядчик должен разработать, согласовать с Заказчиком и выполнить комплекс организационно-технических подготовительных мероприятий в соответствии с п. 2.7 СО 34.04.181-2003, в том числе предоставить Приказ </w:t>
            </w:r>
            <w:r>
              <w:rPr>
                <w:rFonts w:eastAsia="Arial Unicode MS"/>
                <w:sz w:val="24"/>
                <w:szCs w:val="24"/>
              </w:rPr>
              <w:t>по предприятию о назначении руководителя ремонта и отчитаться по выполнению подготовительных мероприятий за 10 дней до начала ремонта.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Вся полнота ответственности при выполнении работ на объекте за соблюдением норм и правил по охране труда и пожарной безоп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асности возлагается на Подрядчика. Организация и выполнение работ должны осуществляться при соблюдении законодательства Российской Федерации об охране труда, а также иных нормативных правовых актов, строительных норм и правил, сводов правил по проектирован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ию и строительству, межотраслевых и отраслевых правил и типовых инструкций по охране труда, правил и инструкций по технике безопасности, утвержденных в установленном порядке, государственных стандартов системы стандартов безопасности труда, правил безопасн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ости, правил устройства и безопасной эксплуатации, инструкций по безопасности, государственных санитарно-эпидемиологических правил и нормативов, гигиенических нормативов, санитарных правил и норм.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Охрана труда рабочих должна обеспечиваться выдачей необходи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мых средств индивидуальной защиты (каски, специальная одежда, обувь и др.), выполнением мероприятий по коллективной защите работающих (ограждения, освещение, защитные и предохранительные устройства), при необходимости наличием санитарно-бытовых помещений и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устройств в соответствии с действующими нормами.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Организация работ, должна обеспечивать безопасность труда работающих на всех этапах выполнения строительно-монтажных работ. Рабочие места должны быть ограждены, а в вечернее время при необходимости должны б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ыть освещены по установленным нормам.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1.2.3.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</w:rPr>
              <w:t>Подрядчик обеспечивает содержание и уборку строительной площадки и прилегающей к ней территории.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1.2.4.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Подрядчик должен быть обеспечен необходимыми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инструментами, механизмами и средствами индивидуальной защиты согласно характеру работ, указанных в Таблице № 2.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1.2.5.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Подрядчик обеспечивает определение и согласование с филиалом заказчика мест подключения временных </w:t>
            </w:r>
            <w:r>
              <w:rPr>
                <w:sz w:val="24"/>
                <w:szCs w:val="24"/>
              </w:rPr>
              <w:t>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1.2.6.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Подрядчик должен обеспечить подготов</w:t>
            </w:r>
            <w:r>
              <w:rPr>
                <w:sz w:val="24"/>
                <w:szCs w:val="24"/>
              </w:rPr>
              <w:t>ку объекта к сдаче-приемке: демонтажу временных сетей, бытовых и подсобных помещений, разборке ограждений, вывозу с территории оборудования, инструмента, строительного мусора, уборке объекта.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</w:t>
            </w:r>
            <w:r>
              <w:rPr>
                <w:b/>
                <w:sz w:val="24"/>
                <w:szCs w:val="24"/>
              </w:rPr>
              <w:t xml:space="preserve"> материалам, технологиям, программно-аппаратным средствам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Заказ и поставку материалов и оборудования для ремонта в полном объёме осуществляет Подрядчик. </w:t>
            </w:r>
            <w:r>
              <w:rPr>
                <w:rFonts w:eastAsia="Calibri"/>
                <w:iCs/>
                <w:sz w:val="24"/>
                <w:szCs w:val="24"/>
              </w:rPr>
              <w:t>Доставку материалов и оборудования на объект Подрядчик осуществляет самостоятельно, за</w:t>
            </w:r>
            <w:r>
              <w:rPr>
                <w:rFonts w:eastAsia="Calibri"/>
                <w:iCs/>
                <w:sz w:val="24"/>
                <w:szCs w:val="24"/>
              </w:rPr>
              <w:t>траты по доставке включены в стоимость работ.</w:t>
            </w:r>
          </w:p>
          <w:p w:rsidR="004E24D3" w:rsidRDefault="0047755F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hi-IN" w:bidi="hi-IN"/>
              </w:rPr>
              <w:t xml:space="preserve">Гарантия на МТР и оборудование, поставляемые Подрядчиком, составляет срок, составляющий не менее гарантийного срока установленным заводом изготовителем с даты подписания акта </w:t>
            </w:r>
            <w:r>
              <w:rPr>
                <w:rFonts w:eastAsia="Calibri"/>
                <w:sz w:val="24"/>
                <w:szCs w:val="24"/>
                <w:lang w:eastAsia="en-US" w:bidi="hi-IN"/>
              </w:rPr>
              <w:t>приемки законченного строительством</w:t>
            </w:r>
            <w:r>
              <w:rPr>
                <w:rFonts w:eastAsia="Calibri"/>
                <w:sz w:val="24"/>
                <w:szCs w:val="24"/>
                <w:lang w:eastAsia="en-US" w:bidi="hi-IN"/>
              </w:rPr>
              <w:t xml:space="preserve"> объекта</w:t>
            </w:r>
            <w:r>
              <w:rPr>
                <w:rFonts w:eastAsia="Calibri"/>
                <w:sz w:val="24"/>
                <w:szCs w:val="24"/>
                <w:lang w:eastAsia="hi-IN" w:bidi="hi-IN"/>
              </w:rPr>
              <w:t xml:space="preserve"> по форме ОС-3.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Все применяемые материалы и изделия должны иметь соответствующие сертификаты, технические паспорта и другие документы, удостоверяющие их качество, должны быть новыми, не должны быть ранее </w:t>
            </w:r>
            <w:r>
              <w:rPr>
                <w:rFonts w:eastAsia="Calibri"/>
                <w:sz w:val="24"/>
                <w:szCs w:val="24"/>
              </w:rPr>
              <w:t>использованными.</w:t>
            </w:r>
          </w:p>
          <w:p w:rsidR="004E24D3" w:rsidRDefault="004775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эквивалентных материалов допустимо только при согласовании с Заказчиком, без увеличения сметной стоимости.</w:t>
            </w:r>
          </w:p>
        </w:tc>
        <w:tc>
          <w:tcPr>
            <w:tcW w:w="1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1.3.4.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iCs/>
                <w:color w:val="000000"/>
                <w:sz w:val="24"/>
                <w:szCs w:val="24"/>
              </w:rPr>
              <w:t xml:space="preserve">Подрядчик должен обеспечить входной контроль поступающих материалов и запасных частей с заполнением в журнале входного контроля согласно </w:t>
            </w:r>
            <w:r>
              <w:rPr>
                <w:rStyle w:val="af2"/>
                <w:i w:val="0"/>
                <w:color w:val="000000"/>
                <w:sz w:val="24"/>
                <w:szCs w:val="24"/>
              </w:rPr>
              <w:t>СП 48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rStyle w:val="af2"/>
                <w:i w:val="0"/>
                <w:color w:val="000000"/>
                <w:sz w:val="24"/>
                <w:szCs w:val="24"/>
              </w:rPr>
              <w:t>13330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rStyle w:val="af2"/>
                <w:i w:val="0"/>
                <w:color w:val="000000"/>
                <w:sz w:val="24"/>
                <w:szCs w:val="24"/>
              </w:rPr>
              <w:t>2019</w:t>
            </w:r>
            <w:r>
              <w:rPr>
                <w:color w:val="000000"/>
                <w:sz w:val="24"/>
                <w:szCs w:val="24"/>
              </w:rPr>
              <w:br/>
              <w:t>"</w:t>
            </w:r>
            <w:r>
              <w:rPr>
                <w:rStyle w:val="af2"/>
                <w:i w:val="0"/>
                <w:color w:val="000000"/>
                <w:sz w:val="24"/>
                <w:szCs w:val="24"/>
              </w:rPr>
              <w:t>СНиП 12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rStyle w:val="af2"/>
                <w:i w:val="0"/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rStyle w:val="af2"/>
                <w:i w:val="0"/>
                <w:color w:val="000000"/>
                <w:sz w:val="24"/>
                <w:szCs w:val="24"/>
              </w:rPr>
              <w:t>2004</w:t>
            </w:r>
            <w:r>
              <w:rPr>
                <w:color w:val="000000"/>
                <w:sz w:val="24"/>
                <w:szCs w:val="24"/>
              </w:rPr>
              <w:t>. Организация строительства"</w:t>
            </w:r>
            <w:r>
              <w:rPr>
                <w:iCs/>
                <w:color w:val="000000"/>
                <w:sz w:val="24"/>
                <w:szCs w:val="24"/>
              </w:rPr>
              <w:t>, включающий в себя проверку:</w:t>
            </w:r>
          </w:p>
          <w:p w:rsidR="004E24D3" w:rsidRDefault="0047755F">
            <w:pPr>
              <w:widowControl w:val="0"/>
              <w:rPr>
                <w:color w:val="000000"/>
              </w:rPr>
            </w:pPr>
            <w:r>
              <w:rPr>
                <w:iCs/>
                <w:color w:val="000000"/>
                <w:sz w:val="24"/>
                <w:szCs w:val="24"/>
              </w:rPr>
              <w:t>- наличия соответствующих се</w:t>
            </w:r>
            <w:r>
              <w:rPr>
                <w:iCs/>
                <w:color w:val="000000"/>
                <w:sz w:val="24"/>
                <w:szCs w:val="24"/>
              </w:rPr>
              <w:t>ртификатов соответствия на материалы;</w:t>
            </w:r>
          </w:p>
          <w:p w:rsidR="004E24D3" w:rsidRDefault="0047755F">
            <w:pPr>
              <w:widowControl w:val="0"/>
              <w:rPr>
                <w:color w:val="000000"/>
              </w:rPr>
            </w:pPr>
            <w:r>
              <w:rPr>
                <w:iCs/>
                <w:color w:val="000000"/>
                <w:sz w:val="24"/>
                <w:szCs w:val="24"/>
              </w:rPr>
              <w:t>- 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4E24D3" w:rsidRDefault="0047755F">
            <w:pPr>
              <w:widowControl w:val="0"/>
              <w:rPr>
                <w:color w:val="000000"/>
              </w:rPr>
            </w:pPr>
            <w:r>
              <w:rPr>
                <w:iCs/>
                <w:color w:val="000000"/>
                <w:sz w:val="24"/>
                <w:szCs w:val="24"/>
              </w:rPr>
              <w:t>- нали</w:t>
            </w:r>
            <w:r>
              <w:rPr>
                <w:iCs/>
                <w:color w:val="000000"/>
                <w:sz w:val="24"/>
                <w:szCs w:val="24"/>
              </w:rPr>
              <w:t>чия маркировки, сохранности упаковки, наличия и сохранности защитных и окрасочных покрытий и т.п.;</w:t>
            </w:r>
          </w:p>
          <w:p w:rsidR="004E24D3" w:rsidRDefault="0047755F">
            <w:pPr>
              <w:widowControl w:val="0"/>
              <w:rPr>
                <w:color w:val="000000"/>
              </w:rPr>
            </w:pPr>
            <w:r>
              <w:rPr>
                <w:iCs/>
                <w:color w:val="000000"/>
                <w:sz w:val="24"/>
                <w:szCs w:val="24"/>
              </w:rPr>
              <w:t>- комплектности поставляемых материалов;</w:t>
            </w:r>
          </w:p>
          <w:p w:rsidR="004E24D3" w:rsidRDefault="0047755F">
            <w:pPr>
              <w:widowControl w:val="0"/>
              <w:rPr>
                <w:color w:val="000000"/>
              </w:rPr>
            </w:pPr>
            <w:r>
              <w:rPr>
                <w:iCs/>
                <w:color w:val="000000"/>
                <w:sz w:val="24"/>
                <w:szCs w:val="24"/>
              </w:rPr>
              <w:t>- и т.п.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tabs>
                <w:tab w:val="left" w:pos="426"/>
              </w:tabs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sz w:val="24"/>
                <w:szCs w:val="24"/>
              </w:rPr>
              <w:t xml:space="preserve">Работы </w:t>
            </w:r>
            <w:r>
              <w:rPr>
                <w:sz w:val="24"/>
                <w:szCs w:val="24"/>
              </w:rPr>
              <w:t>должны выполняться в соответствии с рабочей и нормативной документацией, и Подрядчик должен руководствоваться соответствующими документами по характеру работ.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sz w:val="24"/>
                <w:szCs w:val="24"/>
              </w:rPr>
              <w:t>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 и рабочей документации, соблюдением норм и правил ск</w:t>
            </w:r>
            <w:r>
              <w:rPr>
                <w:sz w:val="24"/>
                <w:szCs w:val="24"/>
              </w:rPr>
              <w:t>ладирования и хранения применяемой продукции, соблюдением последовательности и состава технологических операций при осуществлении работ. Подрядчик гарантирует высокое качество и надежную последующую эксплуатацию объекта в соответствии с положениями техниче</w:t>
            </w:r>
            <w:r>
              <w:rPr>
                <w:sz w:val="24"/>
                <w:szCs w:val="24"/>
              </w:rPr>
              <w:t xml:space="preserve">ских регламентов, действующих на территории Российской Федерации 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соответствовать требованиям, предъявляемым к работам соответствующего рода.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персоналу Участника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 xml:space="preserve">Организационно-технические </w:t>
            </w:r>
            <w:r>
              <w:rPr>
                <w:sz w:val="24"/>
                <w:szCs w:val="24"/>
              </w:rPr>
              <w:t>мероприятия по допуску персонала исполнителя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>Допуск персонала подрядчика для выполнения работ должен осуществляться в соответствии с «Регламентом допуска подрядных организаций и командированного персонала на объекты АО «Сахаэнерго» ИСМ РГ-00-017.03-23 (При</w:t>
            </w:r>
            <w:r>
              <w:rPr>
                <w:sz w:val="24"/>
                <w:szCs w:val="24"/>
              </w:rPr>
              <w:t>ложение №1 к Техническим требованиям).</w:t>
            </w:r>
          </w:p>
          <w:p w:rsidR="004E24D3" w:rsidRDefault="0047755F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>Подготовку рабочих мест и первичный допуск к работам выполняет персонал Заказчика.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sz w:val="24"/>
              </w:rPr>
              <w:t>-</w:t>
            </w:r>
          </w:p>
          <w:p w:rsidR="004E24D3" w:rsidRDefault="004E24D3">
            <w:pPr>
              <w:widowControl w:val="0"/>
            </w:pP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</w:rPr>
              <w:t>Организация и выполнение ремонтных работ</w:t>
            </w:r>
            <w:r>
              <w:rPr>
                <w:sz w:val="24"/>
              </w:rPr>
              <w:t xml:space="preserve"> должна проводится в соответствии с требованиями: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</w:tabs>
              <w:ind w:left="0" w:firstLine="0"/>
              <w:jc w:val="both"/>
            </w:pPr>
            <w:r>
              <w:rPr>
                <w:rStyle w:val="af2"/>
                <w:i w:val="0"/>
                <w:color w:val="22272F"/>
                <w:sz w:val="24"/>
                <w:szCs w:val="24"/>
              </w:rPr>
              <w:t>Строительные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нормы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и 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правила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СНиП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12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-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03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2001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"Безопасность труда в строительстве. Часть 1. Общие требования"</w:t>
            </w:r>
            <w:r>
              <w:rPr>
                <w:sz w:val="24"/>
                <w:szCs w:val="24"/>
              </w:rPr>
              <w:t>;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</w:tabs>
              <w:ind w:left="0" w:firstLine="0"/>
              <w:jc w:val="both"/>
            </w:pPr>
            <w:r>
              <w:rPr>
                <w:rStyle w:val="af2"/>
                <w:i w:val="0"/>
                <w:color w:val="22272F"/>
                <w:sz w:val="24"/>
                <w:szCs w:val="24"/>
              </w:rPr>
              <w:t>Строительные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нормы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и 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правила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РФ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СНиП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12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-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04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-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2002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 xml:space="preserve">"Безопасность труда в строительстве. Часть 2. 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Строительное производство"</w:t>
            </w:r>
            <w:r>
              <w:rPr>
                <w:sz w:val="24"/>
                <w:szCs w:val="24"/>
              </w:rPr>
              <w:t>;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</w:tabs>
              <w:ind w:left="0" w:firstLine="0"/>
              <w:jc w:val="both"/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Инструкция</w:t>
            </w:r>
            <w:r>
              <w:rPr>
                <w:color w:val="22272F"/>
                <w:sz w:val="24"/>
                <w:szCs w:val="24"/>
              </w:rPr>
              <w:t xml:space="preserve"> 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о мерах пожарной безопасности при проведении огневых работ на энергетических предприятиях СО 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153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34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03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305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2003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(утв. </w:t>
            </w:r>
            <w:hyperlink r:id="rId8" w:anchor="/document/190963/entry/0" w:history="1">
              <w:r>
                <w:rPr>
                  <w:color w:val="3272C0"/>
                  <w:sz w:val="24"/>
                  <w:szCs w:val="24"/>
                  <w:u w:val="single"/>
                  <w:shd w:val="clear" w:color="auto" w:fill="FFFFFF"/>
                </w:rPr>
                <w:t>приказом</w:t>
              </w:r>
            </w:hyperlink>
            <w:r>
              <w:rPr>
                <w:color w:val="22272F"/>
                <w:sz w:val="24"/>
                <w:szCs w:val="24"/>
                <w:shd w:val="clear" w:color="auto" w:fill="FFFFFF"/>
              </w:rPr>
              <w:t> Минэнерго РФ от 3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0 июня 2003 г. N 263);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</w:tabs>
              <w:ind w:left="0" w:firstLine="0"/>
              <w:jc w:val="both"/>
            </w:pPr>
            <w:r>
              <w:rPr>
                <w:sz w:val="24"/>
              </w:rPr>
              <w:t>Приказ Министерства труда и социальной защиты РФ от 16 ноября 2020 г. N 782н об утверждении Правил по охране труда при работе на высоте"</w:t>
            </w:r>
            <w:r>
              <w:rPr>
                <w:rFonts w:eastAsia="Arial Unicode MS"/>
                <w:sz w:val="24"/>
              </w:rPr>
              <w:t xml:space="preserve"> ;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</w:tabs>
              <w:ind w:left="0" w:firstLine="0"/>
              <w:jc w:val="both"/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>Правила организации технического обслуживания и ремонта оборудования, зданий и сооружений элек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тростанций и сетей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СО 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34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04</w:t>
            </w:r>
            <w:r>
              <w:rPr>
                <w:color w:val="22272F"/>
                <w:sz w:val="24"/>
                <w:szCs w:val="24"/>
              </w:rPr>
              <w:t>.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181</w:t>
            </w:r>
            <w:r>
              <w:rPr>
                <w:color w:val="22272F"/>
                <w:sz w:val="24"/>
                <w:szCs w:val="24"/>
              </w:rPr>
              <w:t>-</w:t>
            </w:r>
            <w:r>
              <w:rPr>
                <w:rStyle w:val="af2"/>
                <w:i w:val="0"/>
                <w:color w:val="22272F"/>
                <w:sz w:val="24"/>
                <w:szCs w:val="24"/>
              </w:rPr>
              <w:t>2003</w:t>
            </w:r>
            <w:r>
              <w:rPr>
                <w:color w:val="22272F"/>
                <w:sz w:val="24"/>
                <w:szCs w:val="24"/>
              </w:rPr>
              <w:br/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(утв. РАО "ЕЭС России" 25 декабря 2003 г.)</w:t>
            </w:r>
            <w:r>
              <w:rPr>
                <w:rFonts w:eastAsia="Arial Unicode MS"/>
                <w:sz w:val="24"/>
                <w:szCs w:val="24"/>
              </w:rPr>
              <w:t>;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</w:tabs>
              <w:ind w:left="0" w:firstLine="0"/>
              <w:jc w:val="both"/>
            </w:pPr>
            <w:r>
              <w:rPr>
                <w:sz w:val="24"/>
              </w:rPr>
              <w:t>Приказ Министерства труда и социальной защиты РФ от 15 декабря 2020 г. N 902н "Об утверждении Правил по охране труда при работе в ограниченных и замкнутых пространствах".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</w:tabs>
              <w:ind w:left="0" w:firstLine="0"/>
              <w:jc w:val="both"/>
            </w:pPr>
            <w:r>
              <w:rPr>
                <w:rFonts w:eastAsia="Arial Unicode MS"/>
                <w:sz w:val="24"/>
              </w:rPr>
              <w:t>Приказ Федеральной службы по экологическому, технологическому и атомному надзору от 15 декабря 2020 г. N 529 "Об утверждении федеральных норм и правил в области промышленной безопасности "Правила промышленной безопасности складов нефти и нефтепродуктов"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</w:tabs>
              <w:ind w:left="0" w:firstLine="0"/>
              <w:jc w:val="both"/>
            </w:pPr>
            <w:r>
              <w:rPr>
                <w:rFonts w:eastAsia="Arial Unicode MS"/>
                <w:sz w:val="24"/>
              </w:rPr>
              <w:t>Пр</w:t>
            </w:r>
            <w:r>
              <w:rPr>
                <w:rFonts w:eastAsia="Arial Unicode MS"/>
                <w:sz w:val="24"/>
              </w:rPr>
              <w:t>иказ Федеральной службы по экологическому, технологическому и атомному надзору от 15 декабря 2020 г. N 528 "Об утверждении федеральных норм и правил в области промышленной безопасности "Правила безопасного ведения газоопасных, огневых и ремонтных работ"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  <w:tab w:val="left" w:pos="915"/>
              </w:tabs>
              <w:ind w:left="0" w:firstLine="0"/>
              <w:jc w:val="both"/>
            </w:pPr>
            <w:r>
              <w:rPr>
                <w:rFonts w:eastAsia="Arial Unicode MS"/>
                <w:sz w:val="24"/>
              </w:rPr>
              <w:t xml:space="preserve">Приказ Федеральной службы по экологическому, технологическому и атомному надзору от 1 декабря 2020 г. N 478 "Об утверждении федеральных норм и правил в области промышленной безопасности "Основные требования к проведению неразрушающего контроля технических </w:t>
            </w:r>
            <w:r>
              <w:rPr>
                <w:rFonts w:eastAsia="Arial Unicode MS"/>
                <w:sz w:val="24"/>
              </w:rPr>
              <w:t>устройств, зданий и сооружений на опасных производственных объектах"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  <w:tab w:val="left" w:pos="915"/>
              </w:tabs>
              <w:ind w:left="0" w:firstLine="0"/>
              <w:jc w:val="both"/>
            </w:pPr>
            <w:r>
              <w:rPr>
                <w:rFonts w:eastAsia="Arial Unicode MS"/>
                <w:sz w:val="24"/>
              </w:rPr>
              <w:t xml:space="preserve">Приказ Федеральной службы по экологическому, технологическому и атомному надзору от 11 декабря 2020 г. N 519 "Об утверждении Федеральных норм и правил в области промышленной безопасности </w:t>
            </w:r>
            <w:r>
              <w:rPr>
                <w:rFonts w:eastAsia="Arial Unicode MS"/>
                <w:sz w:val="24"/>
              </w:rPr>
              <w:t>"Требования к производству сварочных работ на опасных производственных объектах"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  <w:tab w:val="left" w:pos="915"/>
              </w:tabs>
              <w:ind w:left="0" w:firstLine="0"/>
              <w:jc w:val="both"/>
            </w:pPr>
            <w:r>
              <w:rPr>
                <w:rFonts w:eastAsia="Arial Unicode MS"/>
                <w:sz w:val="24"/>
              </w:rPr>
              <w:t>Постановление Федерального горного и промышленного надзора России от 25 июня 2002 г. N 36 "Об утверждении новой редакции "Технологического регламента проведения аттестации сва</w:t>
            </w:r>
            <w:r>
              <w:rPr>
                <w:rFonts w:eastAsia="Arial Unicode MS"/>
                <w:sz w:val="24"/>
              </w:rPr>
              <w:t>рщиков и специалистов сварочного производства</w:t>
            </w:r>
          </w:p>
          <w:p w:rsidR="004E24D3" w:rsidRDefault="0047755F">
            <w:pPr>
              <w:widowControl w:val="0"/>
              <w:numPr>
                <w:ilvl w:val="0"/>
                <w:numId w:val="10"/>
              </w:numPr>
              <w:tabs>
                <w:tab w:val="left" w:pos="302"/>
                <w:tab w:val="left" w:pos="915"/>
              </w:tabs>
              <w:ind w:left="0" w:firstLine="0"/>
              <w:jc w:val="both"/>
            </w:pPr>
            <w:r>
              <w:rPr>
                <w:sz w:val="24"/>
              </w:rPr>
              <w:t>Иными нормативными документами по соответствующему характеру работ.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</w:rPr>
              <w:t>Подрядчик обязан принимать участие в Днях ТБ, проводимых Заказчиком в период проведения ремонтных работ на объекте.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При выполнении Работ Подрядчику необходимо: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- обеспечить безопасность, собственного персонала, персонала подрядных организаций, находящегося в зоне выполнения работ в период производства работ;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- нести ответственность за сохранность оборудования, </w:t>
            </w:r>
            <w:r>
              <w:rPr>
                <w:sz w:val="24"/>
                <w:szCs w:val="24"/>
              </w:rPr>
              <w:t>механизмов, средств, систем, конструкций, сооружений и транспортных приспособлений Заказчика и подрядных организаций, находящихся в зоне выполнения работ в период производства работ;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- своевременно оповещать представителей Заказчика и технического надзора </w:t>
            </w:r>
            <w:r>
              <w:rPr>
                <w:sz w:val="24"/>
                <w:szCs w:val="24"/>
              </w:rPr>
              <w:t>о проведении освидетельствования скрытых работ и ответственных конструкций.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0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Результат работ должен соответствовать перечню и </w:t>
            </w:r>
            <w:r>
              <w:rPr>
                <w:sz w:val="24"/>
                <w:szCs w:val="24"/>
              </w:rPr>
              <w:t>объемам выполняемых работ (таблица №2) настоящих технических требований и рабочей документации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Качество выполненных подрядчиком работ должно соответствовать требованиям, предъявляемым к работам соответствующего рода, если иное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не предусмотрено законом, иными правовыми актами или договором подряда.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 контроль над выполнением работ и ответственного за персонал Подрядчика, и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технику безопасности при проведении работ.</w:t>
            </w:r>
          </w:p>
          <w:p w:rsidR="004E24D3" w:rsidRDefault="0047755F">
            <w:pPr>
              <w:widowControl w:val="0"/>
              <w:tabs>
                <w:tab w:val="left" w:pos="432"/>
                <w:tab w:val="left" w:pos="459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 xml:space="preserve">Требования к техническим и функциональным </w:t>
            </w:r>
            <w:r>
              <w:rPr>
                <w:b/>
                <w:sz w:val="24"/>
                <w:szCs w:val="24"/>
              </w:rPr>
              <w:t>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Гарантийный срок на выполненные работы: не менее 24 месяцев.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E24D3" w:rsidRDefault="0047755F">
            <w:pPr>
              <w:widowControl w:val="0"/>
            </w:pPr>
            <w:r>
              <w:rPr>
                <w:sz w:val="24"/>
                <w:szCs w:val="24"/>
                <w:shd w:val="clear" w:color="auto" w:fill="FFFFFF"/>
              </w:rPr>
              <w:t>Заказчик, обнаруживший после приемки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</w:t>
            </w:r>
            <w:r>
              <w:rPr>
                <w:sz w:val="24"/>
                <w:szCs w:val="24"/>
                <w:shd w:val="clear" w:color="auto" w:fill="FFFFFF"/>
              </w:rPr>
              <w:t xml:space="preserve">ь об этом Подрядчика, а Подрядчик </w:t>
            </w:r>
            <w:r>
              <w:rPr>
                <w:sz w:val="24"/>
                <w:szCs w:val="24"/>
              </w:rPr>
              <w:t xml:space="preserve">устраняет их за свой счет в согласованные сторонами сроки и компенсирует Заказчику понесенные при этом убытки </w:t>
            </w:r>
            <w:r>
              <w:rPr>
                <w:sz w:val="24"/>
                <w:szCs w:val="24"/>
                <w:shd w:val="clear" w:color="auto" w:fill="FFFFFF"/>
              </w:rPr>
              <w:t>в разумный срок.</w:t>
            </w:r>
          </w:p>
        </w:tc>
        <w:tc>
          <w:tcPr>
            <w:tcW w:w="18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tabs>
                <w:tab w:val="left" w:pos="426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1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 xml:space="preserve">Требования к оформлению </w:t>
            </w:r>
            <w:r>
              <w:rPr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E24D3">
            <w:pPr>
              <w:widowControl w:val="0"/>
              <w:numPr>
                <w:ilvl w:val="2"/>
                <w:numId w:val="7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 целях приемки работ Подрядчик не менее чем за семь рабочих дней до даты приемки, направляет Заказчику письменное извещение об окончании работ и готовности к сдаче результатов работ. При этом совместно с извещением направляет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(предоставляет) Заказчику:</w:t>
            </w:r>
          </w:p>
          <w:p w:rsidR="004E24D3" w:rsidRDefault="0047755F">
            <w:pPr>
              <w:widowControl w:val="0"/>
              <w:tabs>
                <w:tab w:val="left" w:pos="50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Акты приемки выполненных работ по форме КС-2;</w:t>
            </w:r>
          </w:p>
          <w:p w:rsidR="004E24D3" w:rsidRDefault="0047755F">
            <w:pPr>
              <w:widowControl w:val="0"/>
              <w:tabs>
                <w:tab w:val="left" w:pos="175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2. Справки о стоимости выполненных работ по форме КС-3;</w:t>
            </w:r>
          </w:p>
          <w:p w:rsidR="004E24D3" w:rsidRDefault="0047755F">
            <w:pPr>
              <w:widowControl w:val="0"/>
              <w:tabs>
                <w:tab w:val="left" w:pos="175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3. Общий журнал работ;</w:t>
            </w:r>
          </w:p>
          <w:p w:rsidR="004E24D3" w:rsidRDefault="0047755F">
            <w:pPr>
              <w:widowControl w:val="0"/>
              <w:tabs>
                <w:tab w:val="left" w:pos="175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4. Специальные журналы (сварочных, бетонных, антикоррозионных и т.д., согласно условиям и видам рабо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т, предусмотренных по Договору);</w:t>
            </w:r>
          </w:p>
          <w:p w:rsidR="004E24D3" w:rsidRDefault="0047755F">
            <w:pPr>
              <w:widowControl w:val="0"/>
              <w:tabs>
                <w:tab w:val="left" w:pos="50"/>
                <w:tab w:val="left" w:pos="300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5. Акты приема передачи основных средств по форме ОС-3 (Форма Акта ОС-3 предоставляется Заказчиком по запросу Подрядчика);</w:t>
            </w:r>
          </w:p>
          <w:p w:rsidR="004E24D3" w:rsidRDefault="0047755F">
            <w:pPr>
              <w:widowControl w:val="0"/>
              <w:tabs>
                <w:tab w:val="left" w:pos="175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6. Исполнительную документацию (заверенную подписью и печатью Подрядчика):</w:t>
            </w:r>
          </w:p>
          <w:p w:rsidR="004E24D3" w:rsidRDefault="0047755F">
            <w:pPr>
              <w:widowControl w:val="0"/>
              <w:tabs>
                <w:tab w:val="left" w:pos="3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- акты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освидетельствования скрытых работ с фотоматериалами;</w:t>
            </w:r>
          </w:p>
          <w:p w:rsidR="004E24D3" w:rsidRDefault="0047755F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паспорта, сертификаты соответствия на смонтированное оборудование и примененные материалы;</w:t>
            </w:r>
          </w:p>
          <w:p w:rsidR="004E24D3" w:rsidRDefault="0047755F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акты испытаний (акты гидравлических и/или пневмотических испытаний, акты промывки и продувки трубопровода);</w:t>
            </w:r>
          </w:p>
          <w:p w:rsidR="004E24D3" w:rsidRDefault="0047755F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акты зачистки резервуаров (если таковы работы предусмотрены Договором);</w:t>
            </w:r>
          </w:p>
          <w:p w:rsidR="004E24D3" w:rsidRDefault="0047755F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накладные или счета-фактуры на материалы и оборудование (при необходимости);</w:t>
            </w:r>
          </w:p>
          <w:p w:rsidR="004E24D3" w:rsidRDefault="0047755F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э</w:t>
            </w:r>
            <w:r>
              <w:rPr>
                <w:rFonts w:eastAsia="Lucida Sans Unicode"/>
                <w:sz w:val="24"/>
                <w:szCs w:val="24"/>
                <w:lang w:eastAsia="en-US" w:bidi="hi-IN"/>
              </w:rPr>
              <w:t>ксплуатационная документация, сертификаты, технические условия, протоколы, инструкции, паспорта;</w:t>
            </w:r>
          </w:p>
          <w:p w:rsidR="004E24D3" w:rsidRDefault="0047755F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en-US" w:bidi="hi-IN"/>
              </w:rPr>
              <w:t>- д</w:t>
            </w:r>
            <w:r>
              <w:rPr>
                <w:rFonts w:eastAsia="Lucida Sans Unicode"/>
                <w:sz w:val="24"/>
                <w:szCs w:val="24"/>
                <w:lang w:eastAsia="en-US" w:bidi="hi-IN"/>
              </w:rPr>
              <w:t>окументы, удостоверяющие качество используемых Подрядчиком Материально-технических ресурсов;</w:t>
            </w:r>
          </w:p>
          <w:p w:rsidR="004E24D3" w:rsidRDefault="0047755F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en-US" w:bidi="hi-IN"/>
              </w:rPr>
              <w:t>- пофамильные списки персонала, задействованного при производстве Работ, а также копии всех документов, подтверждающих его квалификацию, а также,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документы, подтве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рждающие аттестацию сварщиков и специалистов сварочного производства;</w:t>
            </w:r>
          </w:p>
          <w:p w:rsidR="004E24D3" w:rsidRDefault="0047755F">
            <w:pPr>
              <w:widowControl w:val="0"/>
              <w:tabs>
                <w:tab w:val="left" w:pos="34"/>
                <w:tab w:val="left" w:pos="884"/>
              </w:tabs>
              <w:jc w:val="both"/>
            </w:pPr>
            <w:r>
              <w:rPr>
                <w:rFonts w:eastAsia="Lucida Sans Unicode"/>
                <w:sz w:val="24"/>
                <w:szCs w:val="24"/>
                <w:lang w:eastAsia="en-US" w:bidi="hi-IN"/>
              </w:rPr>
              <w:t>- фото/видео -материалы выполнения работ (при необходимости по запросу Заказчика);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и т. д. (согласно условиям и видам работ, предусмотренных по Договору)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rFonts w:eastAsia="Calibri"/>
                <w:b/>
                <w:sz w:val="24"/>
                <w:szCs w:val="24"/>
              </w:rPr>
              <w:t>3.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Гарантийный срок на выполненные работы: не менее 24 месяцев.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Заказчик, обнаруживший после приемки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</w:t>
            </w:r>
            <w:r>
              <w:rPr>
                <w:sz w:val="24"/>
                <w:szCs w:val="24"/>
                <w:shd w:val="clear" w:color="auto" w:fill="FFFFFF"/>
              </w:rPr>
              <w:t xml:space="preserve">ь об этом Подрядчика, а Подрядчик </w:t>
            </w:r>
            <w:r>
              <w:rPr>
                <w:sz w:val="24"/>
                <w:szCs w:val="24"/>
              </w:rPr>
              <w:t xml:space="preserve">устраняет их за свой счет в согласованные сторонами сроки и компенсирует Заказчику понесенные при этом убытки </w:t>
            </w:r>
            <w:r>
              <w:rPr>
                <w:sz w:val="24"/>
                <w:szCs w:val="24"/>
                <w:shd w:val="clear" w:color="auto" w:fill="FFFFFF"/>
              </w:rPr>
              <w:t>в разумный срок.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bCs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rFonts w:eastAsia="Calibri"/>
                <w:b/>
                <w:sz w:val="24"/>
                <w:szCs w:val="24"/>
              </w:rPr>
              <w:t>4.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keepNext/>
              <w:widowControl w:val="0"/>
            </w:pPr>
            <w:r>
              <w:rPr>
                <w:b/>
                <w:sz w:val="24"/>
                <w:szCs w:val="24"/>
              </w:rPr>
              <w:t>Требования к подрядчику (и субподрядчикам) и его обязательствам,</w:t>
            </w:r>
            <w:r>
              <w:rPr>
                <w:b/>
                <w:sz w:val="24"/>
                <w:szCs w:val="24"/>
              </w:rPr>
              <w:t xml:space="preserve"> влияющим на исполнение договора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Требования и обязательства: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- о том, что подрядчик (субподрядчики), помимо места производства работ, будет обязан принять, например, место (помещение) для складирования материально-технических ресурсов </w:t>
            </w:r>
            <w:r>
              <w:rPr>
                <w:sz w:val="24"/>
                <w:szCs w:val="24"/>
              </w:rPr>
              <w:t>и оборудования;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- требования к доставке, приемке, разгрузке, складированию и хранению прибывающих на место производства работ материально-технических ресурсов и оборудования, необходимых для выполнения работ;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- требования к процедурам взаимодействия с Зака</w:t>
            </w:r>
            <w:r>
              <w:rPr>
                <w:sz w:val="24"/>
                <w:szCs w:val="24"/>
              </w:rPr>
              <w:t>зчиком;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</w:rPr>
              <w:t>- требования в отношении режима прохода на территорию заказчика и правила поведения на ней;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</w:rPr>
              <w:t>- иные требования к подрядчику и его обязательствам, влияющим на исполнение договора</w:t>
            </w:r>
            <w:r>
              <w:rPr>
                <w:sz w:val="24"/>
                <w:szCs w:val="24"/>
              </w:rPr>
              <w:t>;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- требования в отношении страхования (оборудования заказчика, передава</w:t>
            </w:r>
            <w:r>
              <w:rPr>
                <w:sz w:val="24"/>
                <w:szCs w:val="24"/>
              </w:rPr>
              <w:t>емого подрядчику в монтаж, если это предусмотрено проектом договора)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rFonts w:eastAsia="Calibri"/>
                <w:sz w:val="24"/>
                <w:szCs w:val="24"/>
              </w:rPr>
              <w:t>4.2.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both"/>
            </w:pPr>
            <w:r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</w:t>
            </w:r>
            <w:r>
              <w:rPr>
                <w:iCs/>
                <w:sz w:val="24"/>
                <w:szCs w:val="24"/>
              </w:rPr>
              <w:t>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Прочие требования к выполняемым работам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</w:rPr>
              <w:t>5.1.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При выполнении</w:t>
            </w:r>
            <w:r>
              <w:rPr>
                <w:sz w:val="24"/>
                <w:szCs w:val="24"/>
              </w:rPr>
              <w:t xml:space="preserve"> работ необходимо выполнять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полигон, указанный Заказчиком.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</w:rPr>
              <w:t>5.2.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</w:rPr>
              <w:t>Экологические требования по охране окружающей среды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Согласно действующим нормам и правилам, мероприятия по охране окружающей среды (Закон РФ «Об охране окружающей природной среды» № 45-Ф3 от 09.05.05.)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</w:rPr>
              <w:t>5.3.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Согласно п. 2.1.3 </w:t>
            </w:r>
            <w:r>
              <w:rPr>
                <w:sz w:val="24"/>
                <w:szCs w:val="24"/>
              </w:rPr>
              <w:t>Договора подряда, п</w:t>
            </w:r>
            <w:r>
              <w:rPr>
                <w:bCs/>
                <w:color w:val="000000"/>
                <w:sz w:val="24"/>
                <w:szCs w:val="24"/>
              </w:rPr>
              <w:t xml:space="preserve">ри наличии технической возможности и соответствующих ресурсов обеспечить Подрядчика коммунальными ресурсами (электроснабжение, водоснабжение и водоотведение, сжатый воздух), предоставить помещения для размещения персонала, складские и / </w:t>
            </w:r>
            <w:r>
              <w:rPr>
                <w:bCs/>
                <w:color w:val="000000"/>
                <w:sz w:val="24"/>
                <w:szCs w:val="24"/>
              </w:rPr>
              <w:t>или иные помещения, а также оказать иные услуги в соответствии видам работ, предусмотренных</w:t>
            </w:r>
            <w:r>
              <w:rPr>
                <w:rFonts w:eastAsia="Lucida Sans Unicode"/>
                <w:color w:val="000000"/>
                <w:sz w:val="24"/>
                <w:szCs w:val="24"/>
                <w:lang w:eastAsia="hi-IN" w:bidi="hi-IN"/>
              </w:rPr>
              <w:t xml:space="preserve"> по Договору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bCs/>
                <w:sz w:val="24"/>
                <w:szCs w:val="24"/>
              </w:rPr>
              <w:t>Предоставление Заказчиком ресурсов и услуг, указанных в Технических требованиях (Приложение № 1 к Договору), осуществляется без дополнительной оплаты в</w:t>
            </w:r>
            <w:r>
              <w:rPr>
                <w:bCs/>
                <w:sz w:val="24"/>
                <w:szCs w:val="24"/>
              </w:rPr>
              <w:t xml:space="preserve">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№ 10 к Договору). Предоставленные Заказчиком ресурсы и услуги используются Подрядчиком в целях исполне</w:t>
            </w:r>
            <w:r>
              <w:rPr>
                <w:bCs/>
                <w:sz w:val="24"/>
                <w:szCs w:val="24"/>
              </w:rPr>
              <w:t>ния обязательств по Договору.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E24D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</w:rPr>
              <w:t>5.4.</w:t>
            </w:r>
          </w:p>
        </w:tc>
        <w:tc>
          <w:tcPr>
            <w:tcW w:w="7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>Передача помещений осуществляется на основании акта сдачи-приемки по форме, согласованной Сторонами.</w:t>
            </w:r>
          </w:p>
          <w:p w:rsidR="004E24D3" w:rsidRDefault="0047755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Заказчик несет расходы по капитальному и текущему ремонту предоставленных в пользование </w:t>
            </w:r>
            <w:r>
              <w:rPr>
                <w:bCs/>
                <w:sz w:val="24"/>
                <w:szCs w:val="24"/>
              </w:rPr>
              <w:t>помещений</w:t>
            </w:r>
            <w:r>
              <w:rPr>
                <w:sz w:val="24"/>
                <w:szCs w:val="24"/>
              </w:rPr>
              <w:t xml:space="preserve">. Подрядчик </w:t>
            </w:r>
            <w:r>
              <w:rPr>
                <w:bCs/>
                <w:sz w:val="24"/>
                <w:szCs w:val="24"/>
              </w:rPr>
              <w:t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</w:t>
            </w:r>
            <w:r>
              <w:rPr>
                <w:bCs/>
                <w:sz w:val="24"/>
                <w:szCs w:val="24"/>
              </w:rPr>
              <w:t xml:space="preserve"> либо, в случаях прекращения (расторжения) Договора, – не позднее 3 (трех) рабочих дней с даты получения соответствующего требования Заказчика.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  <w:jc w:val="center"/>
            </w:pPr>
            <w:r>
              <w:rPr>
                <w:sz w:val="24"/>
                <w:szCs w:val="24"/>
              </w:rPr>
              <w:t>Согласие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7755F">
            <w:pPr>
              <w:widowControl w:val="0"/>
            </w:pPr>
            <w:r>
              <w:t>-</w:t>
            </w:r>
          </w:p>
          <w:p w:rsidR="004E24D3" w:rsidRDefault="004E24D3">
            <w:pPr>
              <w:widowControl w:val="0"/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4D3" w:rsidRDefault="004E24D3">
            <w:pPr>
              <w:widowControl w:val="0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4E24D3" w:rsidRDefault="004E24D3">
      <w:pPr>
        <w:sectPr w:rsidR="004E24D3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100"/>
        </w:sectPr>
      </w:pPr>
    </w:p>
    <w:p w:rsidR="004E24D3" w:rsidRDefault="0047755F">
      <w:pPr>
        <w:pStyle w:val="aff2"/>
        <w:widowControl w:val="0"/>
        <w:ind w:left="0"/>
        <w:jc w:val="center"/>
      </w:pPr>
      <w:r>
        <w:rPr>
          <w:b/>
          <w:sz w:val="28"/>
          <w:szCs w:val="28"/>
        </w:rPr>
        <w:t xml:space="preserve">3. </w:t>
      </w:r>
      <w:r>
        <w:rPr>
          <w:b/>
          <w:bCs/>
        </w:rPr>
        <w:t xml:space="preserve"> Требования к Участникам закупочных процедур в части ценообразования</w:t>
      </w:r>
    </w:p>
    <w:p w:rsidR="004E24D3" w:rsidRDefault="004E24D3">
      <w:pPr>
        <w:jc w:val="both"/>
        <w:rPr>
          <w:rFonts w:eastAsia="Calibri"/>
          <w:sz w:val="24"/>
          <w:szCs w:val="24"/>
        </w:rPr>
      </w:pPr>
    </w:p>
    <w:p w:rsidR="004E24D3" w:rsidRDefault="0047755F">
      <w:pPr>
        <w:widowControl w:val="0"/>
        <w:tabs>
          <w:tab w:val="left" w:pos="426"/>
        </w:tabs>
        <w:spacing w:before="60"/>
        <w:ind w:left="720" w:firstLine="426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закупки.</w:t>
      </w:r>
    </w:p>
    <w:p w:rsidR="004E24D3" w:rsidRDefault="0047755F">
      <w:pPr>
        <w:pStyle w:val="aff2"/>
        <w:widowControl w:val="0"/>
        <w:numPr>
          <w:ilvl w:val="1"/>
          <w:numId w:val="11"/>
        </w:numPr>
        <w:tabs>
          <w:tab w:val="left" w:pos="426"/>
        </w:tabs>
        <w:spacing w:before="60"/>
        <w:ind w:left="0" w:firstLine="567"/>
        <w:jc w:val="both"/>
      </w:pPr>
      <w:r>
        <w:t>Для обоснования стоимости заявки Участник должен представить Коммерческое предложение в форме, приведенной в Документации о</w:t>
      </w:r>
      <w:r>
        <w:t xml:space="preserve"> закупке.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Стоимость предложения участника определяется по формуле: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567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P=N*k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567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где, P - стоимость предложения участника;</w:t>
      </w:r>
    </w:p>
    <w:p w:rsidR="004E24D3" w:rsidRDefault="0047755F">
      <w:pPr>
        <w:widowControl w:val="0"/>
        <w:tabs>
          <w:tab w:val="left" w:pos="426"/>
          <w:tab w:val="left" w:pos="741"/>
        </w:tabs>
        <w:spacing w:before="60" w:line="360" w:lineRule="auto"/>
        <w:ind w:firstLine="397"/>
        <w:contextualSpacing/>
        <w:jc w:val="both"/>
      </w:pPr>
      <w:r>
        <w:rPr>
          <w:sz w:val="24"/>
          <w:szCs w:val="24"/>
        </w:rPr>
        <w:t>N - начальная (максимальная) цена договора, (цена лота), определенная в соответствии со сметной документацией Заказчика, представленным в сос</w:t>
      </w:r>
      <w:r>
        <w:rPr>
          <w:sz w:val="24"/>
          <w:szCs w:val="24"/>
        </w:rPr>
        <w:t>таве закупочной документации;</w:t>
      </w:r>
    </w:p>
    <w:p w:rsidR="004E24D3" w:rsidRDefault="0047755F">
      <w:pPr>
        <w:widowControl w:val="0"/>
        <w:tabs>
          <w:tab w:val="left" w:pos="426"/>
          <w:tab w:val="left" w:pos="741"/>
        </w:tabs>
        <w:spacing w:before="60" w:line="360" w:lineRule="auto"/>
        <w:ind w:firstLine="397"/>
        <w:contextualSpacing/>
        <w:jc w:val="both"/>
      </w:pPr>
      <w:r>
        <w:rPr>
          <w:sz w:val="24"/>
          <w:szCs w:val="24"/>
        </w:rPr>
        <w:t>k -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1.2. Сметная документация в состав заявки участника не вкл</w:t>
      </w:r>
      <w:r>
        <w:rPr>
          <w:sz w:val="24"/>
          <w:szCs w:val="24"/>
        </w:rPr>
        <w:t>ючается.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397"/>
        <w:contextualSpacing/>
        <w:jc w:val="both"/>
        <w:rPr>
          <w:sz w:val="24"/>
          <w:szCs w:val="24"/>
        </w:rPr>
      </w:pPr>
      <w:bookmarkStart w:id="24" w:name="_Toc54646412_Копия_8"/>
      <w:bookmarkEnd w:id="24"/>
      <w:r>
        <w:rPr>
          <w:b/>
          <w:sz w:val="24"/>
          <w:szCs w:val="24"/>
        </w:rPr>
        <w:t>Требования к документации по ценообразованию на этапе заключения (исполнения) договора.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2.1. На этапе заключения договора Участник должен предоставить сметный расчет.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2.1.1. </w:t>
      </w:r>
      <w:r>
        <w:rPr>
          <w:bCs/>
          <w:sz w:val="24"/>
          <w:szCs w:val="24"/>
        </w:rPr>
        <w:t>Сметный расчет, составленный Заказчиком в рамках определения начальной (м</w:t>
      </w:r>
      <w:r>
        <w:rPr>
          <w:bCs/>
          <w:sz w:val="24"/>
          <w:szCs w:val="24"/>
        </w:rPr>
        <w:t xml:space="preserve">аксимальной) цены договора включается в состав договора с применением понижающего коэффициента, предложенного победителем закупочной процедуры. Понижающий коэффициент </w:t>
      </w:r>
      <w:r>
        <w:rPr>
          <w:sz w:val="24"/>
          <w:szCs w:val="24"/>
        </w:rPr>
        <w:t xml:space="preserve">вводятся в расчет отдельным индексом к итогам после начисления лимитированных затрат (но </w:t>
      </w:r>
      <w:r>
        <w:rPr>
          <w:sz w:val="24"/>
          <w:szCs w:val="24"/>
        </w:rPr>
        <w:t xml:space="preserve">перед начислением НДС, в случае если участник работает в общей системе налогообложения), с указанием величины примененных коэффициентов. 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Допускается понижение до цены лота за счет лимитированных и непредвиденный затрат.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2.2. Участнику необходимо предостав</w:t>
      </w:r>
      <w:r>
        <w:rPr>
          <w:sz w:val="24"/>
          <w:szCs w:val="24"/>
        </w:rPr>
        <w:t>ить письмо-согласие со сметным расчетом Заказчика, с отображением понижающих коэффициентов.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>
        <w:rPr>
          <w:bCs/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 1.1, не допускается.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397"/>
        <w:contextualSpacing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2.4. </w:t>
      </w:r>
      <w:r>
        <w:rPr>
          <w:sz w:val="24"/>
          <w:szCs w:val="24"/>
        </w:rPr>
        <w:t xml:space="preserve">Учтенные в </w:t>
      </w:r>
      <w:r>
        <w:rPr>
          <w:sz w:val="24"/>
          <w:szCs w:val="24"/>
        </w:rPr>
        <w:t>договорной смете понижающие коэффициенты обязательны к применению как в актах выполненных работ на стадии расчетов, так и в дополнительных сметах в случае их составления на стадии выполнения Договора подряда.</w:t>
      </w:r>
    </w:p>
    <w:p w:rsidR="004E24D3" w:rsidRDefault="0047755F">
      <w:pPr>
        <w:widowControl w:val="0"/>
        <w:tabs>
          <w:tab w:val="left" w:pos="426"/>
        </w:tabs>
        <w:spacing w:before="60" w:line="360" w:lineRule="auto"/>
        <w:ind w:firstLine="39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2.5. Затраты на перебазировку техники, командир</w:t>
      </w:r>
      <w:r>
        <w:rPr>
          <w:sz w:val="24"/>
          <w:szCs w:val="24"/>
        </w:rPr>
        <w:t>овочные расходы при их наличии в договорной смете принимаются по подтверждающим документам, но не более суммы, предусмотренной сметным расчетом к Договору.</w:t>
      </w:r>
    </w:p>
    <w:p w:rsidR="004E24D3" w:rsidRDefault="0047755F">
      <w:pPr>
        <w:tabs>
          <w:tab w:val="left" w:pos="993"/>
        </w:tabs>
        <w:spacing w:line="360" w:lineRule="auto"/>
        <w:ind w:firstLine="397"/>
        <w:jc w:val="both"/>
        <w:rPr>
          <w:sz w:val="24"/>
          <w:szCs w:val="24"/>
        </w:rPr>
      </w:pPr>
      <w:r>
        <w:rPr>
          <w:sz w:val="24"/>
          <w:szCs w:val="24"/>
        </w:rPr>
        <w:t>2.6. Непредвиденные затраты оплачивается за фактически выполненные работы при наличии подтверждающих</w:t>
      </w:r>
      <w:r>
        <w:rPr>
          <w:sz w:val="24"/>
          <w:szCs w:val="24"/>
        </w:rPr>
        <w:t xml:space="preserve"> документов.</w:t>
      </w:r>
    </w:p>
    <w:p w:rsidR="004E24D3" w:rsidRDefault="0047755F">
      <w:pPr>
        <w:spacing w:line="360" w:lineRule="auto"/>
        <w:ind w:firstLine="397"/>
        <w:jc w:val="both"/>
        <w:rPr>
          <w:sz w:val="24"/>
          <w:szCs w:val="24"/>
        </w:rPr>
      </w:pPr>
      <w:r>
        <w:rPr>
          <w:sz w:val="24"/>
          <w:szCs w:val="24"/>
        </w:rPr>
        <w:t>2.7. Акт выполненных работ (КС-2) составляется подрядной организацией на основании договорной сметы.</w:t>
      </w:r>
    </w:p>
    <w:p w:rsidR="004E24D3" w:rsidRDefault="0047755F">
      <w:pPr>
        <w:pStyle w:val="1"/>
        <w:keepLines/>
        <w:numPr>
          <w:ilvl w:val="0"/>
          <w:numId w:val="0"/>
        </w:numPr>
        <w:tabs>
          <w:tab w:val="left" w:pos="0"/>
        </w:tabs>
      </w:pPr>
      <w:r>
        <w:rPr>
          <w:iCs/>
          <w:sz w:val="24"/>
        </w:rPr>
        <w:t>4. Приложения</w:t>
      </w:r>
    </w:p>
    <w:p w:rsidR="004E24D3" w:rsidRDefault="0047755F">
      <w:pPr>
        <w:spacing w:after="120"/>
        <w:contextualSpacing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№1: </w:t>
      </w:r>
      <w:r>
        <w:rPr>
          <w:sz w:val="24"/>
          <w:szCs w:val="24"/>
        </w:rPr>
        <w:t>Регламент</w:t>
      </w:r>
      <w:r>
        <w:rPr>
          <w:rFonts w:eastAsia="Arial Unicode MS"/>
          <w:sz w:val="24"/>
          <w:szCs w:val="24"/>
        </w:rPr>
        <w:t xml:space="preserve"> допуска.</w:t>
      </w:r>
    </w:p>
    <w:p w:rsidR="004E24D3" w:rsidRDefault="0047755F">
      <w:pPr>
        <w:spacing w:after="120"/>
        <w:contextualSpacing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№2: </w:t>
      </w:r>
      <w:r>
        <w:rPr>
          <w:sz w:val="24"/>
          <w:szCs w:val="24"/>
        </w:rPr>
        <w:t>Локальный ресурсный сметный расчет</w:t>
      </w:r>
      <w:r>
        <w:rPr>
          <w:bCs/>
          <w:iCs/>
          <w:sz w:val="24"/>
          <w:szCs w:val="24"/>
          <w:lang w:eastAsia="en-US"/>
        </w:rPr>
        <w:t>;</w:t>
      </w:r>
    </w:p>
    <w:p w:rsidR="004E24D3" w:rsidRDefault="0047755F">
      <w:pPr>
        <w:spacing w:after="120"/>
        <w:contextualSpacing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№3: </w:t>
      </w:r>
      <w:r>
        <w:rPr>
          <w:sz w:val="24"/>
          <w:szCs w:val="24"/>
        </w:rPr>
        <w:t>Письмо-согласие со сметной д</w:t>
      </w:r>
      <w:r>
        <w:rPr>
          <w:sz w:val="24"/>
          <w:szCs w:val="24"/>
        </w:rPr>
        <w:t>окументацией Заказчика;</w:t>
      </w:r>
    </w:p>
    <w:p w:rsidR="004E24D3" w:rsidRDefault="004E24D3">
      <w:pPr>
        <w:spacing w:after="120"/>
        <w:ind w:left="720"/>
        <w:contextualSpacing/>
      </w:pPr>
    </w:p>
    <w:p w:rsidR="004E24D3" w:rsidRDefault="004E24D3">
      <w:pPr>
        <w:spacing w:after="120"/>
        <w:contextualSpacing/>
        <w:rPr>
          <w:sz w:val="24"/>
          <w:szCs w:val="24"/>
        </w:rPr>
      </w:pPr>
    </w:p>
    <w:p w:rsidR="004E24D3" w:rsidRDefault="004E24D3">
      <w:pPr>
        <w:spacing w:after="120"/>
        <w:ind w:left="720"/>
        <w:contextualSpacing/>
        <w:rPr>
          <w:sz w:val="24"/>
          <w:szCs w:val="24"/>
        </w:rPr>
      </w:pPr>
    </w:p>
    <w:p w:rsidR="004E24D3" w:rsidRDefault="004E24D3">
      <w:pPr>
        <w:spacing w:after="120"/>
        <w:contextualSpacing/>
        <w:rPr>
          <w:sz w:val="24"/>
          <w:szCs w:val="24"/>
        </w:rPr>
      </w:pPr>
    </w:p>
    <w:p w:rsidR="004E24D3" w:rsidRDefault="004E24D3">
      <w:pPr>
        <w:spacing w:after="120"/>
        <w:contextualSpacing/>
        <w:rPr>
          <w:sz w:val="24"/>
          <w:szCs w:val="24"/>
        </w:rPr>
      </w:pPr>
    </w:p>
    <w:p w:rsidR="004E24D3" w:rsidRDefault="004E24D3">
      <w:pPr>
        <w:spacing w:after="120"/>
        <w:contextualSpacing/>
        <w:rPr>
          <w:sz w:val="24"/>
          <w:szCs w:val="24"/>
        </w:rPr>
      </w:pPr>
    </w:p>
    <w:p w:rsidR="004E24D3" w:rsidRDefault="004E24D3">
      <w:pPr>
        <w:spacing w:after="120"/>
        <w:contextualSpacing/>
        <w:rPr>
          <w:sz w:val="24"/>
          <w:szCs w:val="24"/>
        </w:rPr>
      </w:pPr>
    </w:p>
    <w:p w:rsidR="004E24D3" w:rsidRDefault="004E24D3">
      <w:pPr>
        <w:spacing w:after="120"/>
        <w:contextualSpacing/>
        <w:rPr>
          <w:sz w:val="24"/>
          <w:szCs w:val="24"/>
        </w:rPr>
      </w:pPr>
    </w:p>
    <w:p w:rsidR="004E24D3" w:rsidRDefault="004E24D3">
      <w:pPr>
        <w:spacing w:after="120"/>
        <w:contextualSpacing/>
        <w:rPr>
          <w:sz w:val="24"/>
          <w:szCs w:val="24"/>
        </w:rPr>
      </w:pPr>
    </w:p>
    <w:p w:rsidR="004E24D3" w:rsidRDefault="004E24D3">
      <w:pPr>
        <w:spacing w:after="120"/>
        <w:contextualSpacing/>
        <w:rPr>
          <w:sz w:val="24"/>
          <w:szCs w:val="24"/>
        </w:rPr>
      </w:pPr>
    </w:p>
    <w:p w:rsidR="004E24D3" w:rsidRDefault="0047755F">
      <w:pPr>
        <w:jc w:val="right"/>
        <w:rPr>
          <w:sz w:val="24"/>
          <w:szCs w:val="24"/>
        </w:rPr>
      </w:pPr>
      <w:bookmarkStart w:id="25" w:name="_GoBack"/>
      <w:bookmarkEnd w:id="25"/>
      <w:r>
        <w:br w:type="page"/>
      </w:r>
    </w:p>
    <w:p w:rsidR="004E24D3" w:rsidRDefault="004E24D3">
      <w:pPr>
        <w:jc w:val="right"/>
        <w:rPr>
          <w:sz w:val="24"/>
          <w:szCs w:val="24"/>
        </w:rPr>
      </w:pPr>
    </w:p>
    <w:p w:rsidR="004E24D3" w:rsidRDefault="0047755F">
      <w:pPr>
        <w:jc w:val="right"/>
        <w:rPr>
          <w:sz w:val="24"/>
          <w:szCs w:val="24"/>
        </w:rPr>
      </w:pPr>
      <w:r>
        <w:rPr>
          <w:sz w:val="22"/>
          <w:szCs w:val="22"/>
        </w:rPr>
        <w:t>Приложение №3 к Техническим требованиям</w:t>
      </w:r>
    </w:p>
    <w:p w:rsidR="004E24D3" w:rsidRDefault="004E24D3">
      <w:pPr>
        <w:rPr>
          <w:sz w:val="22"/>
          <w:szCs w:val="22"/>
        </w:rPr>
      </w:pPr>
    </w:p>
    <w:p w:rsidR="004E24D3" w:rsidRDefault="004E24D3">
      <w:pPr>
        <w:jc w:val="right"/>
        <w:rPr>
          <w:sz w:val="22"/>
          <w:szCs w:val="22"/>
        </w:rPr>
      </w:pPr>
    </w:p>
    <w:p w:rsidR="004E24D3" w:rsidRDefault="004E24D3">
      <w:pPr>
        <w:jc w:val="right"/>
        <w:rPr>
          <w:sz w:val="22"/>
          <w:szCs w:val="22"/>
        </w:rPr>
      </w:pPr>
    </w:p>
    <w:p w:rsidR="004E24D3" w:rsidRDefault="004E24D3">
      <w:pPr>
        <w:jc w:val="right"/>
        <w:rPr>
          <w:sz w:val="22"/>
          <w:szCs w:val="22"/>
        </w:rPr>
      </w:pPr>
    </w:p>
    <w:tbl>
      <w:tblPr>
        <w:tblW w:w="813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586"/>
        <w:gridCol w:w="3544"/>
      </w:tblGrid>
      <w:tr w:rsidR="004E24D3">
        <w:trPr>
          <w:trHeight w:val="1999"/>
        </w:trPr>
        <w:tc>
          <w:tcPr>
            <w:tcW w:w="4585" w:type="dxa"/>
          </w:tcPr>
          <w:p w:rsidR="004E24D3" w:rsidRDefault="004E24D3">
            <w:pPr>
              <w:widowControl w:val="0"/>
              <w:ind w:left="851"/>
              <w:rPr>
                <w:sz w:val="24"/>
                <w:szCs w:val="24"/>
              </w:rPr>
            </w:pPr>
          </w:p>
          <w:p w:rsidR="004E24D3" w:rsidRDefault="004E24D3">
            <w:pPr>
              <w:widowControl w:val="0"/>
              <w:ind w:left="851"/>
              <w:rPr>
                <w:sz w:val="24"/>
                <w:szCs w:val="24"/>
              </w:rPr>
            </w:pPr>
          </w:p>
          <w:p w:rsidR="004E24D3" w:rsidRDefault="0047755F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</w:rPr>
              <w:t>НА ФИРМЕННОМ БЛАНКЕ ПРЕДПРИЯТИЯ</w:t>
            </w:r>
          </w:p>
          <w:p w:rsidR="004E24D3" w:rsidRDefault="004E24D3">
            <w:pPr>
              <w:widowControl w:val="0"/>
              <w:ind w:left="851" w:firstLine="709"/>
              <w:rPr>
                <w:sz w:val="18"/>
                <w:szCs w:val="18"/>
              </w:rPr>
            </w:pPr>
          </w:p>
          <w:p w:rsidR="004E24D3" w:rsidRDefault="004E24D3">
            <w:pPr>
              <w:widowControl w:val="0"/>
              <w:ind w:left="851" w:firstLine="709"/>
              <w:rPr>
                <w:sz w:val="18"/>
                <w:szCs w:val="18"/>
              </w:rPr>
            </w:pPr>
          </w:p>
          <w:p w:rsidR="004E24D3" w:rsidRDefault="004E24D3">
            <w:pPr>
              <w:widowControl w:val="0"/>
              <w:ind w:left="851" w:firstLine="709"/>
              <w:contextualSpacing/>
              <w:rPr>
                <w:sz w:val="18"/>
                <w:szCs w:val="18"/>
              </w:rPr>
            </w:pPr>
          </w:p>
        </w:tc>
        <w:tc>
          <w:tcPr>
            <w:tcW w:w="3544" w:type="dxa"/>
          </w:tcPr>
          <w:p w:rsidR="004E24D3" w:rsidRDefault="004E24D3">
            <w:pPr>
              <w:widowControl w:val="0"/>
              <w:ind w:left="851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4E24D3" w:rsidRDefault="0047755F">
      <w:pPr>
        <w:widowControl w:val="0"/>
        <w:jc w:val="center"/>
        <w:rPr>
          <w:sz w:val="24"/>
          <w:szCs w:val="24"/>
        </w:rPr>
      </w:pPr>
      <w:r>
        <w:rPr>
          <w:b/>
        </w:rPr>
        <w:t>Письмо-согласие со сметной документацией Заказчика</w:t>
      </w:r>
    </w:p>
    <w:p w:rsidR="004E24D3" w:rsidRDefault="004E24D3">
      <w:pPr>
        <w:jc w:val="center"/>
        <w:rPr>
          <w:b/>
          <w:sz w:val="22"/>
          <w:szCs w:val="22"/>
        </w:rPr>
      </w:pPr>
    </w:p>
    <w:p w:rsidR="004E24D3" w:rsidRDefault="004E24D3">
      <w:pPr>
        <w:jc w:val="center"/>
        <w:rPr>
          <w:b/>
          <w:sz w:val="22"/>
          <w:szCs w:val="22"/>
        </w:rPr>
      </w:pPr>
    </w:p>
    <w:p w:rsidR="004E24D3" w:rsidRDefault="0047755F">
      <w:pPr>
        <w:rPr>
          <w:sz w:val="24"/>
          <w:szCs w:val="24"/>
        </w:rPr>
      </w:pPr>
      <w:r>
        <w:rPr>
          <w:rFonts w:ascii="Book Antiqua" w:hAnsi="Book Antiqua"/>
          <w:sz w:val="22"/>
          <w:szCs w:val="22"/>
        </w:rPr>
        <w:t xml:space="preserve">_____________________________, в лице ____________________________________________, </w:t>
      </w:r>
    </w:p>
    <w:p w:rsidR="004E24D3" w:rsidRDefault="0047755F">
      <w:pPr>
        <w:rPr>
          <w:sz w:val="24"/>
          <w:szCs w:val="24"/>
        </w:rPr>
      </w:pPr>
      <w:r>
        <w:rPr>
          <w:rFonts w:ascii="Book Antiqua" w:hAnsi="Book Antiqua"/>
          <w:i/>
          <w:sz w:val="22"/>
          <w:szCs w:val="22"/>
        </w:rPr>
        <w:t xml:space="preserve">           </w:t>
      </w:r>
      <w:r>
        <w:rPr>
          <w:rFonts w:ascii="Book Antiqua" w:hAnsi="Book Antiqua"/>
          <w:i/>
          <w:sz w:val="18"/>
          <w:szCs w:val="22"/>
        </w:rPr>
        <w:t xml:space="preserve">наименование Участника                               </w:t>
      </w:r>
      <w:r>
        <w:rPr>
          <w:i/>
          <w:sz w:val="18"/>
        </w:rPr>
        <w:t>должность, фамилия, имя, отчество руководителя</w:t>
      </w:r>
    </w:p>
    <w:p w:rsidR="004E24D3" w:rsidRDefault="0047755F">
      <w:pPr>
        <w:spacing w:line="276" w:lineRule="auto"/>
        <w:rPr>
          <w:sz w:val="24"/>
          <w:szCs w:val="24"/>
        </w:rPr>
      </w:pPr>
      <w:r>
        <w:rPr>
          <w:rFonts w:ascii="Book Antiqua" w:hAnsi="Book Antiqua"/>
          <w:sz w:val="22"/>
          <w:szCs w:val="22"/>
        </w:rPr>
        <w:t>настоящим сообщаю о согласии с опубликованной в закупочной д</w:t>
      </w:r>
      <w:r>
        <w:rPr>
          <w:rFonts w:ascii="Book Antiqua" w:hAnsi="Book Antiqua"/>
          <w:sz w:val="22"/>
          <w:szCs w:val="22"/>
        </w:rPr>
        <w:t xml:space="preserve">окументации </w:t>
      </w:r>
    </w:p>
    <w:p w:rsidR="004E24D3" w:rsidRDefault="0047755F">
      <w:pPr>
        <w:spacing w:line="276" w:lineRule="auto"/>
        <w:rPr>
          <w:sz w:val="24"/>
          <w:szCs w:val="24"/>
        </w:rPr>
      </w:pPr>
      <w:r>
        <w:rPr>
          <w:rFonts w:ascii="Book Antiqua" w:hAnsi="Book Antiqua"/>
          <w:sz w:val="22"/>
          <w:szCs w:val="22"/>
        </w:rPr>
        <w:t>Лота № _____ «__________________________________________________________________» сметной документацией Заказчика, включающей в себя все затраты, необходимые для выполнения работ с применением понижающего коэффициента ___________________</w:t>
      </w:r>
    </w:p>
    <w:p w:rsidR="004E24D3" w:rsidRDefault="0047755F">
      <w:pPr>
        <w:jc w:val="center"/>
        <w:rPr>
          <w:sz w:val="24"/>
          <w:szCs w:val="24"/>
        </w:rPr>
      </w:pPr>
      <w:r>
        <w:rPr>
          <w:rFonts w:ascii="Book Antiqua" w:hAnsi="Book Antiqua"/>
          <w:i/>
          <w:sz w:val="18"/>
          <w:szCs w:val="22"/>
        </w:rPr>
        <w:t xml:space="preserve">     </w:t>
      </w:r>
      <w:r>
        <w:rPr>
          <w:rFonts w:ascii="Book Antiqua" w:hAnsi="Book Antiqua"/>
          <w:i/>
          <w:sz w:val="18"/>
          <w:szCs w:val="22"/>
        </w:rPr>
        <w:t xml:space="preserve">                                                                                                                                                  значение коэффициента</w:t>
      </w:r>
    </w:p>
    <w:p w:rsidR="004E24D3" w:rsidRDefault="0047755F">
      <w:pPr>
        <w:spacing w:line="276" w:lineRule="auto"/>
        <w:rPr>
          <w:sz w:val="24"/>
          <w:szCs w:val="24"/>
        </w:rPr>
      </w:pPr>
      <w:r>
        <w:rPr>
          <w:rFonts w:ascii="Book Antiqua" w:hAnsi="Book Antiqua"/>
          <w:sz w:val="22"/>
          <w:szCs w:val="22"/>
        </w:rPr>
        <w:t>к общей стоимости или командировочным затратам и/или доставке материалов и/или перебазир</w:t>
      </w:r>
      <w:r>
        <w:rPr>
          <w:rFonts w:ascii="Book Antiqua" w:hAnsi="Book Antiqua"/>
          <w:sz w:val="22"/>
          <w:szCs w:val="22"/>
        </w:rPr>
        <w:t xml:space="preserve">овке </w:t>
      </w:r>
      <w:r>
        <w:rPr>
          <w:i/>
          <w:iCs/>
          <w:color w:val="0070C0"/>
          <w:sz w:val="26"/>
          <w:szCs w:val="26"/>
          <w:highlight w:val="lightGray"/>
        </w:rPr>
        <w:t>[выбрать необходимое]</w:t>
      </w:r>
    </w:p>
    <w:p w:rsidR="004E24D3" w:rsidRDefault="004E24D3">
      <w:pPr>
        <w:rPr>
          <w:rFonts w:ascii="Book Antiqua" w:hAnsi="Book Antiqua"/>
          <w:sz w:val="22"/>
          <w:szCs w:val="22"/>
        </w:rPr>
      </w:pPr>
    </w:p>
    <w:p w:rsidR="004E24D3" w:rsidRDefault="0047755F">
      <w:pPr>
        <w:rPr>
          <w:sz w:val="24"/>
          <w:szCs w:val="24"/>
        </w:rPr>
      </w:pPr>
      <w:r>
        <w:t>___________________________                             _______________                    ____________________________</w:t>
      </w:r>
    </w:p>
    <w:p w:rsidR="004E24D3" w:rsidRDefault="0047755F">
      <w:pPr>
        <w:rPr>
          <w:sz w:val="24"/>
          <w:szCs w:val="24"/>
        </w:rPr>
      </w:pPr>
      <w:r>
        <w:rPr>
          <w:i/>
        </w:rPr>
        <w:t xml:space="preserve">               должность                                                          подпись                   </w:t>
      </w:r>
      <w:r>
        <w:rPr>
          <w:i/>
        </w:rPr>
        <w:t xml:space="preserve">                                 Ф.И.О.</w:t>
      </w:r>
    </w:p>
    <w:p w:rsidR="004E24D3" w:rsidRDefault="004E24D3">
      <w:pPr>
        <w:rPr>
          <w:sz w:val="24"/>
          <w:szCs w:val="24"/>
        </w:rPr>
      </w:pPr>
    </w:p>
    <w:p w:rsidR="004E24D3" w:rsidRDefault="0047755F">
      <w:pPr>
        <w:rPr>
          <w:sz w:val="24"/>
          <w:szCs w:val="24"/>
        </w:rPr>
      </w:pPr>
      <w:r>
        <w:t>М.П.</w:t>
      </w:r>
    </w:p>
    <w:p w:rsidR="004E24D3" w:rsidRDefault="004E24D3"/>
    <w:sectPr w:rsidR="004E24D3">
      <w:headerReference w:type="default" r:id="rId9"/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7755F">
      <w:r>
        <w:separator/>
      </w:r>
    </w:p>
  </w:endnote>
  <w:endnote w:type="continuationSeparator" w:id="0">
    <w:p w:rsidR="00000000" w:rsidRDefault="0047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0">
    <w:altName w:val="Times New Roman"/>
    <w:charset w:val="01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7755F">
      <w:r>
        <w:separator/>
      </w:r>
    </w:p>
  </w:footnote>
  <w:footnote w:type="continuationSeparator" w:id="0">
    <w:p w:rsidR="00000000" w:rsidRDefault="00477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4D3" w:rsidRDefault="004E24D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86A88"/>
    <w:multiLevelType w:val="multilevel"/>
    <w:tmpl w:val="68A29E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205E90"/>
    <w:multiLevelType w:val="multilevel"/>
    <w:tmpl w:val="12803F34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B953D90"/>
    <w:multiLevelType w:val="multilevel"/>
    <w:tmpl w:val="1EE80B6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3FC1A6F"/>
    <w:multiLevelType w:val="multilevel"/>
    <w:tmpl w:val="8258F654"/>
    <w:lvl w:ilvl="0">
      <w:start w:val="1"/>
      <w:numFmt w:val="bullet"/>
      <w:lvlText w:val=""/>
      <w:lvlJc w:val="left"/>
      <w:pPr>
        <w:tabs>
          <w:tab w:val="num" w:pos="0"/>
        </w:tabs>
        <w:ind w:left="783" w:hanging="360"/>
      </w:pPr>
      <w:rPr>
        <w:rFonts w:ascii="0" w:hAnsi="0" w:cs="0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3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3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3" w:hanging="360"/>
      </w:pPr>
      <w:rPr>
        <w:rFonts w:ascii="0" w:hAnsi="0" w:cs="0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3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3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0" w:hAnsi="0" w:cs="0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3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3" w:hanging="360"/>
      </w:pPr>
      <w:rPr>
        <w:rFonts w:ascii="0" w:hAnsi="0" w:cs="0" w:hint="default"/>
      </w:rPr>
    </w:lvl>
  </w:abstractNum>
  <w:abstractNum w:abstractNumId="4">
    <w:nsid w:val="34CC3EE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46986705"/>
    <w:multiLevelType w:val="multilevel"/>
    <w:tmpl w:val="D2626F2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6">
    <w:nsid w:val="46B317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48621D88"/>
    <w:multiLevelType w:val="multilevel"/>
    <w:tmpl w:val="1D90888E"/>
    <w:lvl w:ilvl="0">
      <w:start w:val="1"/>
      <w:numFmt w:val="decimal"/>
      <w:pStyle w:val="ListBul2"/>
      <w:lvlText w:val="%1."/>
      <w:lvlJc w:val="left"/>
      <w:pPr>
        <w:tabs>
          <w:tab w:val="num" w:pos="0"/>
        </w:tabs>
        <w:ind w:left="928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>
    <w:nsid w:val="64282C8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nsid w:val="645312E9"/>
    <w:multiLevelType w:val="multilevel"/>
    <w:tmpl w:val="4FD882DC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0">
    <w:nsid w:val="69187BB1"/>
    <w:multiLevelType w:val="multilevel"/>
    <w:tmpl w:val="1FE298B2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1">
    <w:nsid w:val="7CB1552A"/>
    <w:multiLevelType w:val="multilevel"/>
    <w:tmpl w:val="C220BD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9"/>
  </w:num>
  <w:num w:numId="5">
    <w:abstractNumId w:val="7"/>
  </w:num>
  <w:num w:numId="6">
    <w:abstractNumId w:val="1"/>
  </w:num>
  <w:num w:numId="7">
    <w:abstractNumId w:val="11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4D3"/>
    <w:rsid w:val="0047755F"/>
    <w:rsid w:val="004E24D3"/>
    <w:rsid w:val="007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BF4FE-33B2-499B-A377-E3ABCE47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uppressAutoHyphens w:val="0"/>
    </w:pPr>
    <w:rPr>
      <w:rFonts w:eastAsia="Times New Roman" w:cs="Times New Roman"/>
      <w:sz w:val="28"/>
      <w:szCs w:val="28"/>
    </w:rPr>
  </w:style>
  <w:style w:type="paragraph" w:styleId="1">
    <w:name w:val="heading 1"/>
    <w:basedOn w:val="3"/>
    <w:next w:val="a3"/>
    <w:link w:val="10"/>
    <w:qFormat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next w:val="a3"/>
    <w:link w:val="20"/>
    <w:qFormat/>
    <w:pPr>
      <w:outlineLvl w:val="1"/>
    </w:pPr>
  </w:style>
  <w:style w:type="paragraph" w:styleId="3">
    <w:name w:val="heading 3"/>
    <w:basedOn w:val="a3"/>
    <w:next w:val="a3"/>
    <w:link w:val="30"/>
    <w:qFormat/>
    <w:pPr>
      <w:keepNext/>
      <w:numPr>
        <w:ilvl w:val="2"/>
        <w:numId w:val="3"/>
      </w:numPr>
      <w:spacing w:before="120" w:after="60"/>
      <w:ind w:left="567" w:hanging="510"/>
      <w:jc w:val="center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next w:val="a3"/>
    <w:link w:val="40"/>
    <w:qFormat/>
    <w:pPr>
      <w:numPr>
        <w:ilvl w:val="0"/>
        <w:numId w:val="0"/>
      </w:numPr>
      <w:tabs>
        <w:tab w:val="num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11">
    <w:name w:val="Название Знак1"/>
    <w:basedOn w:val="a4"/>
    <w:link w:val="a7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4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4"/>
    <w:link w:val="22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FootnoteTextChar">
    <w:name w:val="Footnote Text Char"/>
    <w:basedOn w:val="a4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4"/>
    <w:uiPriority w:val="99"/>
    <w:semiHidden/>
    <w:qFormat/>
    <w:rPr>
      <w:sz w:val="20"/>
      <w:szCs w:val="20"/>
    </w:rPr>
  </w:style>
  <w:style w:type="character" w:styleId="a8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character" w:customStyle="1" w:styleId="a9">
    <w:name w:val="Символ сноски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styleId="ab">
    <w:name w:val="page number"/>
    <w:basedOn w:val="a4"/>
    <w:qFormat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uiPriority w:val="99"/>
    <w:semiHidden/>
    <w:qFormat/>
    <w:rPr>
      <w:sz w:val="16"/>
      <w:szCs w:val="16"/>
    </w:rPr>
  </w:style>
  <w:style w:type="character" w:styleId="ae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</w:rPr>
  </w:style>
  <w:style w:type="character" w:customStyle="1" w:styleId="30">
    <w:name w:val="Заголовок 3 Знак"/>
    <w:link w:val="3"/>
    <w:qFormat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 w:cs="Times New Roman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f">
    <w:name w:val="Название Знак"/>
    <w:uiPriority w:val="10"/>
    <w:qFormat/>
    <w:rPr>
      <w:sz w:val="28"/>
    </w:rPr>
  </w:style>
  <w:style w:type="character" w:customStyle="1" w:styleId="af0">
    <w:name w:val="Подзаголовок Знак"/>
    <w:link w:val="af1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2">
    <w:name w:val="Emphasis"/>
    <w:uiPriority w:val="20"/>
    <w:qFormat/>
    <w:rPr>
      <w:i/>
      <w:iCs/>
    </w:rPr>
  </w:style>
  <w:style w:type="character" w:customStyle="1" w:styleId="af3">
    <w:name w:val="Выделенная цитата Знак"/>
    <w:link w:val="af4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5">
    <w:name w:val="Subtle Emphasis"/>
    <w:uiPriority w:val="19"/>
    <w:qFormat/>
    <w:rPr>
      <w:i/>
      <w:iCs/>
      <w:color w:val="808080"/>
    </w:rPr>
  </w:style>
  <w:style w:type="character" w:styleId="af6">
    <w:name w:val="Intense Emphasis"/>
    <w:uiPriority w:val="21"/>
    <w:qFormat/>
    <w:rPr>
      <w:b/>
      <w:bCs/>
      <w:i/>
      <w:iCs/>
      <w:color w:val="4F81BD"/>
    </w:rPr>
  </w:style>
  <w:style w:type="character" w:styleId="af7">
    <w:name w:val="Subtle Reference"/>
    <w:uiPriority w:val="31"/>
    <w:qFormat/>
    <w:rPr>
      <w:smallCaps/>
      <w:color w:val="C0504D"/>
      <w:u w:val="single"/>
    </w:rPr>
  </w:style>
  <w:style w:type="character" w:styleId="af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9">
    <w:name w:val="Book Title"/>
    <w:uiPriority w:val="33"/>
    <w:qFormat/>
    <w:rPr>
      <w:b/>
      <w:bCs/>
      <w:smallCaps/>
      <w:spacing w:val="5"/>
    </w:rPr>
  </w:style>
  <w:style w:type="character" w:customStyle="1" w:styleId="afa">
    <w:name w:val="Электронная подпись Знак"/>
    <w:link w:val="afb"/>
    <w:uiPriority w:val="99"/>
    <w:qFormat/>
    <w:rPr>
      <w:rFonts w:eastAsia="Calibri"/>
      <w:sz w:val="24"/>
      <w:szCs w:val="24"/>
    </w:rPr>
  </w:style>
  <w:style w:type="character" w:customStyle="1" w:styleId="12">
    <w:name w:val="Подпункт Знак1"/>
    <w:link w:val="afc"/>
    <w:qFormat/>
    <w:rPr>
      <w:sz w:val="28"/>
    </w:rPr>
  </w:style>
  <w:style w:type="character" w:customStyle="1" w:styleId="afd">
    <w:name w:val="Текст сноски Знак"/>
    <w:link w:val="afe"/>
    <w:uiPriority w:val="99"/>
    <w:qFormat/>
  </w:style>
  <w:style w:type="character" w:customStyle="1" w:styleId="aff">
    <w:name w:val="Основной текст Знак"/>
    <w:link w:val="aff0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1">
    <w:name w:val="Абзац списка Знак"/>
    <w:link w:val="aff2"/>
    <w:uiPriority w:val="34"/>
    <w:qFormat/>
    <w:rPr>
      <w:rFonts w:eastAsia="Calibri"/>
      <w:sz w:val="24"/>
      <w:szCs w:val="24"/>
    </w:rPr>
  </w:style>
  <w:style w:type="character" w:customStyle="1" w:styleId="aff3">
    <w:name w:val="комментарий"/>
    <w:qFormat/>
    <w:rPr>
      <w:b/>
      <w:i/>
      <w:shd w:val="clear" w:color="auto" w:fill="FFFF99"/>
    </w:rPr>
  </w:style>
  <w:style w:type="character" w:customStyle="1" w:styleId="aff4">
    <w:name w:val="Подподпункт Знак"/>
    <w:link w:val="aff5"/>
    <w:qFormat/>
    <w:rPr>
      <w:sz w:val="26"/>
      <w:szCs w:val="26"/>
    </w:rPr>
  </w:style>
  <w:style w:type="character" w:customStyle="1" w:styleId="aff6">
    <w:name w:val="Верхний колонтитул Знак"/>
    <w:link w:val="aff7"/>
    <w:uiPriority w:val="99"/>
    <w:qFormat/>
    <w:rPr>
      <w:sz w:val="24"/>
      <w:szCs w:val="24"/>
    </w:rPr>
  </w:style>
  <w:style w:type="character" w:customStyle="1" w:styleId="aff8">
    <w:name w:val="Текст примечания Знак"/>
    <w:link w:val="aff9"/>
    <w:semiHidden/>
    <w:qFormat/>
  </w:style>
  <w:style w:type="character" w:customStyle="1" w:styleId="affa">
    <w:name w:val="Текст концевой сноски Знак"/>
    <w:basedOn w:val="a4"/>
    <w:link w:val="affb"/>
    <w:qFormat/>
  </w:style>
  <w:style w:type="character" w:customStyle="1" w:styleId="affc">
    <w:name w:val="Символ концевой сноски"/>
    <w:qFormat/>
    <w:rPr>
      <w:vertAlign w:val="superscript"/>
    </w:rPr>
  </w:style>
  <w:style w:type="character" w:styleId="affd">
    <w:name w:val="endnote reference"/>
    <w:rPr>
      <w:vertAlign w:val="superscript"/>
    </w:rPr>
  </w:style>
  <w:style w:type="character" w:customStyle="1" w:styleId="affe">
    <w:name w:val="Ссылка указателя"/>
    <w:qFormat/>
  </w:style>
  <w:style w:type="character" w:customStyle="1" w:styleId="afff">
    <w:name w:val="Символ нумерации"/>
    <w:qFormat/>
  </w:style>
  <w:style w:type="character" w:customStyle="1" w:styleId="afff0">
    <w:name w:val="Маркеры"/>
    <w:qFormat/>
    <w:rPr>
      <w:rFonts w:ascii="OpenSymbol" w:eastAsia="OpenSymbol" w:hAnsi="OpenSymbol" w:cs="OpenSymbol"/>
    </w:rPr>
  </w:style>
  <w:style w:type="paragraph" w:customStyle="1" w:styleId="afff1">
    <w:name w:val="Заголовок"/>
    <w:basedOn w:val="a3"/>
    <w:next w:val="aff0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0">
    <w:name w:val="Body Text"/>
    <w:basedOn w:val="a3"/>
    <w:link w:val="aff"/>
    <w:pPr>
      <w:spacing w:after="120"/>
    </w:pPr>
  </w:style>
  <w:style w:type="paragraph" w:styleId="afff2">
    <w:name w:val="List"/>
    <w:basedOn w:val="aff0"/>
    <w:rPr>
      <w:rFonts w:cs="Lohit Devanagari"/>
    </w:rPr>
  </w:style>
  <w:style w:type="paragraph" w:styleId="afff3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4">
    <w:name w:val="index heading"/>
    <w:basedOn w:val="afff1"/>
  </w:style>
  <w:style w:type="paragraph" w:styleId="a7">
    <w:name w:val="Title"/>
    <w:basedOn w:val="a3"/>
    <w:next w:val="a3"/>
    <w:link w:val="1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ff5">
    <w:name w:val="table of figures"/>
    <w:basedOn w:val="a3"/>
    <w:next w:val="a3"/>
    <w:uiPriority w:val="99"/>
    <w:unhideWhenUsed/>
    <w:qFormat/>
  </w:style>
  <w:style w:type="paragraph" w:customStyle="1" w:styleId="afff6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">
    <w:name w:val="Раздел положения"/>
    <w:basedOn w:val="a3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qFormat/>
    <w:pPr>
      <w:numPr>
        <w:ilvl w:val="1"/>
        <w:numId w:val="1"/>
      </w:numPr>
      <w:spacing w:before="80" w:after="80"/>
      <w:jc w:val="both"/>
    </w:pPr>
  </w:style>
  <w:style w:type="paragraph" w:styleId="afe">
    <w:name w:val="footnote text"/>
    <w:basedOn w:val="a3"/>
    <w:link w:val="afd"/>
    <w:uiPriority w:val="99"/>
    <w:rPr>
      <w:sz w:val="20"/>
      <w:szCs w:val="20"/>
    </w:rPr>
  </w:style>
  <w:style w:type="paragraph" w:customStyle="1" w:styleId="afff7">
    <w:name w:val="Колонтитул"/>
    <w:basedOn w:val="a3"/>
    <w:qFormat/>
  </w:style>
  <w:style w:type="paragraph" w:styleId="aff7">
    <w:name w:val="header"/>
    <w:basedOn w:val="a3"/>
    <w:link w:val="aff6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8">
    <w:name w:val="Body Text Indent"/>
    <w:basedOn w:val="a3"/>
    <w:pPr>
      <w:ind w:left="360"/>
    </w:pPr>
    <w:rPr>
      <w:sz w:val="24"/>
      <w:szCs w:val="24"/>
    </w:rPr>
  </w:style>
  <w:style w:type="paragraph" w:styleId="afff9">
    <w:name w:val="footer"/>
    <w:basedOn w:val="a3"/>
    <w:pPr>
      <w:tabs>
        <w:tab w:val="center" w:pos="4677"/>
        <w:tab w:val="right" w:pos="9355"/>
      </w:tabs>
    </w:pPr>
  </w:style>
  <w:style w:type="paragraph" w:styleId="23">
    <w:name w:val="Body Text Indent 2"/>
    <w:basedOn w:val="a3"/>
    <w:qFormat/>
    <w:pPr>
      <w:spacing w:after="120" w:line="480" w:lineRule="auto"/>
      <w:ind w:left="283"/>
    </w:pPr>
  </w:style>
  <w:style w:type="paragraph" w:styleId="31">
    <w:name w:val="Body Text 3"/>
    <w:basedOn w:val="a3"/>
    <w:qFormat/>
    <w:pPr>
      <w:spacing w:after="120"/>
    </w:pPr>
    <w:rPr>
      <w:sz w:val="16"/>
      <w:szCs w:val="16"/>
    </w:rPr>
  </w:style>
  <w:style w:type="paragraph" w:styleId="32">
    <w:name w:val="Body Text Indent 3"/>
    <w:basedOn w:val="a3"/>
    <w:qFormat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3"/>
    <w:qFormat/>
    <w:pPr>
      <w:spacing w:after="120" w:line="480" w:lineRule="auto"/>
    </w:pPr>
  </w:style>
  <w:style w:type="paragraph" w:styleId="afffa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c">
    <w:name w:val="Подпункт"/>
    <w:basedOn w:val="a3"/>
    <w:link w:val="12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styleId="13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3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b">
    <w:name w:val="Раздел регламента"/>
    <w:basedOn w:val="a3"/>
    <w:qFormat/>
  </w:style>
  <w:style w:type="paragraph" w:customStyle="1" w:styleId="afffc">
    <w:name w:val="Приложение к регламенту"/>
    <w:basedOn w:val="a3"/>
    <w:qFormat/>
    <w:pPr>
      <w:jc w:val="right"/>
    </w:pPr>
  </w:style>
  <w:style w:type="paragraph" w:styleId="25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fd">
    <w:name w:val="Balloon Text"/>
    <w:basedOn w:val="a3"/>
    <w:semiHidden/>
    <w:qFormat/>
    <w:rPr>
      <w:rFonts w:ascii="Tahoma" w:hAnsi="Tahoma" w:cs="Tahoma"/>
      <w:sz w:val="16"/>
      <w:szCs w:val="16"/>
    </w:rPr>
  </w:style>
  <w:style w:type="paragraph" w:styleId="aff9">
    <w:name w:val="annotation text"/>
    <w:basedOn w:val="a3"/>
    <w:link w:val="aff8"/>
    <w:semiHidden/>
    <w:qFormat/>
    <w:rPr>
      <w:sz w:val="20"/>
      <w:szCs w:val="20"/>
    </w:rPr>
  </w:style>
  <w:style w:type="paragraph" w:styleId="afffe">
    <w:name w:val="annotation subject"/>
    <w:basedOn w:val="aff9"/>
    <w:next w:val="aff9"/>
    <w:semiHidden/>
    <w:qFormat/>
    <w:rPr>
      <w:b/>
      <w:bCs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affff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0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1">
    <w:name w:val="Subtitle"/>
    <w:basedOn w:val="a3"/>
    <w:next w:val="a3"/>
    <w:link w:val="af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2">
    <w:name w:val="List Paragraph"/>
    <w:basedOn w:val="a3"/>
    <w:link w:val="aff1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3"/>
    <w:next w:val="a3"/>
    <w:link w:val="21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4">
    <w:name w:val="Intense Quote"/>
    <w:basedOn w:val="a3"/>
    <w:next w:val="a3"/>
    <w:link w:val="af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1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b">
    <w:name w:val="E-mail Signature"/>
    <w:basedOn w:val="a3"/>
    <w:link w:val="afa"/>
    <w:uiPriority w:val="99"/>
    <w:unhideWhenUsed/>
    <w:qFormat/>
    <w:rPr>
      <w:rFonts w:eastAsia="Calibri"/>
      <w:sz w:val="24"/>
      <w:szCs w:val="24"/>
    </w:rPr>
  </w:style>
  <w:style w:type="paragraph" w:customStyle="1" w:styleId="affff2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Маркированный список 4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3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affff4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affff5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6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5">
    <w:name w:val="Подподпункт"/>
    <w:basedOn w:val="afc"/>
    <w:link w:val="aff4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f2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2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2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styleId="affb">
    <w:name w:val="endnote text"/>
    <w:basedOn w:val="a3"/>
    <w:link w:val="affa"/>
    <w:rPr>
      <w:sz w:val="20"/>
      <w:szCs w:val="20"/>
    </w:rPr>
  </w:style>
  <w:style w:type="paragraph" w:customStyle="1" w:styleId="affff7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8">
    <w:name w:val="Normal (Web)"/>
    <w:basedOn w:val="a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ListBul2">
    <w:name w:val="ListBul2"/>
    <w:basedOn w:val="a3"/>
    <w:qFormat/>
    <w:pPr>
      <w:numPr>
        <w:numId w:val="5"/>
      </w:numPr>
      <w:tabs>
        <w:tab w:val="left" w:pos="567"/>
      </w:tabs>
      <w:jc w:val="both"/>
    </w:pPr>
    <w:rPr>
      <w:sz w:val="22"/>
      <w:szCs w:val="24"/>
    </w:rPr>
  </w:style>
  <w:style w:type="paragraph" w:customStyle="1" w:styleId="affff9">
    <w:name w:val="Содержимое врезки"/>
    <w:basedOn w:val="a3"/>
    <w:qFormat/>
  </w:style>
  <w:style w:type="paragraph" w:customStyle="1" w:styleId="affffa">
    <w:name w:val="Содержимое таблицы"/>
    <w:basedOn w:val="a3"/>
    <w:qFormat/>
    <w:pPr>
      <w:widowControl w:val="0"/>
      <w:suppressLineNumbers/>
    </w:pPr>
  </w:style>
  <w:style w:type="paragraph" w:customStyle="1" w:styleId="affffb">
    <w:name w:val="Заголовок таблицы"/>
    <w:basedOn w:val="affffa"/>
    <w:qFormat/>
    <w:pPr>
      <w:jc w:val="center"/>
    </w:pPr>
    <w:rPr>
      <w:b/>
      <w:bCs/>
    </w:rPr>
  </w:style>
  <w:style w:type="paragraph" w:customStyle="1" w:styleId="Main14">
    <w:name w:val="Main 14"/>
    <w:basedOn w:val="afff3"/>
    <w:qFormat/>
    <w:pPr>
      <w:spacing w:before="60" w:after="0" w:line="312" w:lineRule="auto"/>
      <w:ind w:firstLine="709"/>
      <w:jc w:val="both"/>
    </w:pPr>
    <w:rPr>
      <w:rFonts w:eastAsia="Batang" w:cs="Times New Roman"/>
      <w:i w:val="0"/>
      <w:iCs w:val="0"/>
      <w:sz w:val="28"/>
      <w:szCs w:val="28"/>
      <w:lang w:eastAsia="ko-KR"/>
    </w:rPr>
  </w:style>
  <w:style w:type="numbering" w:customStyle="1" w:styleId="10064688591">
    <w:name w:val="10064688591"/>
    <w:qFormat/>
  </w:style>
  <w:style w:type="numbering" w:customStyle="1" w:styleId="17590179341">
    <w:name w:val="17590179341"/>
    <w:qFormat/>
  </w:style>
  <w:style w:type="numbering" w:customStyle="1" w:styleId="9000081211">
    <w:name w:val="9000081211"/>
    <w:qFormat/>
  </w:style>
  <w:style w:type="numbering" w:customStyle="1" w:styleId="32860598301">
    <w:name w:val="32860598301"/>
    <w:qFormat/>
  </w:style>
  <w:style w:type="table" w:customStyle="1" w:styleId="TableGridLight">
    <w:name w:val="Table Grid Light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4">
    <w:name w:val="Plain Table 1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basedOn w:val="a5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ffc">
    <w:name w:val="Table Grid"/>
    <w:basedOn w:val="a5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F025-333D-41C4-93D1-2152227A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</Pages>
  <Words>4318</Words>
  <Characters>24614</Characters>
  <Application>Microsoft Office Word</Application>
  <DocSecurity>0</DocSecurity>
  <Lines>205</Lines>
  <Paragraphs>57</Paragraphs>
  <ScaleCrop>false</ScaleCrop>
  <Company>Microsoft</Company>
  <LinksUpToDate>false</LinksUpToDate>
  <CharactersWithSpaces>28875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Харбина Айыына Куо Игоревна</cp:lastModifiedBy>
  <cp:revision>91</cp:revision>
  <dcterms:created xsi:type="dcterms:W3CDTF">2024-06-13T01:20:00Z</dcterms:created>
  <dcterms:modified xsi:type="dcterms:W3CDTF">2026-07-09T07:37:00Z</dcterms:modified>
  <dc:language>ru-RU</dc:language>
</cp:coreProperties>
</file>